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BASES</w:t>
      </w:r>
      <w:r>
        <w:rPr>
          <w:spacing w:val="-5"/>
        </w:rPr>
        <w:t> </w:t>
      </w:r>
      <w:r>
        <w:rPr/>
        <w:t>PARA</w:t>
      </w:r>
      <w:r>
        <w:rPr>
          <w:spacing w:val="-3"/>
        </w:rPr>
        <w:t> </w:t>
      </w:r>
      <w:r>
        <w:rPr/>
        <w:t>EL</w:t>
      </w:r>
      <w:r>
        <w:rPr>
          <w:spacing w:val="-5"/>
        </w:rPr>
        <w:t> </w:t>
      </w:r>
      <w:r>
        <w:rPr/>
        <w:t>ACCESO</w:t>
      </w:r>
      <w:r>
        <w:rPr>
          <w:spacing w:val="-5"/>
        </w:rPr>
        <w:t> </w:t>
      </w:r>
      <w:r>
        <w:rPr/>
        <w:t>A</w:t>
      </w:r>
      <w:r>
        <w:rPr>
          <w:spacing w:val="-2"/>
        </w:rPr>
        <w:t> </w:t>
      </w:r>
      <w:r>
        <w:rPr/>
        <w:t>LA</w:t>
      </w:r>
      <w:r>
        <w:rPr>
          <w:spacing w:val="-2"/>
        </w:rPr>
        <w:t> </w:t>
      </w:r>
      <w:r>
        <w:rPr/>
        <w:t>PRESTACIÓN</w:t>
      </w:r>
      <w:r>
        <w:rPr>
          <w:spacing w:val="-4"/>
        </w:rPr>
        <w:t> </w:t>
      </w:r>
      <w:r>
        <w:rPr/>
        <w:t>DE</w:t>
      </w:r>
      <w:r>
        <w:rPr>
          <w:spacing w:val="-2"/>
        </w:rPr>
        <w:t> </w:t>
      </w:r>
      <w:r>
        <w:rPr/>
        <w:t>LOS</w:t>
      </w:r>
      <w:r>
        <w:rPr>
          <w:spacing w:val="-4"/>
        </w:rPr>
        <w:t> </w:t>
      </w:r>
      <w:r>
        <w:rPr/>
        <w:t>SERVICIOS</w:t>
      </w:r>
      <w:r>
        <w:rPr>
          <w:spacing w:val="-4"/>
        </w:rPr>
        <w:t> </w:t>
      </w:r>
      <w:r>
        <w:rPr/>
        <w:t>DEL SISTEMA INFORMÁTICO DEL TRIBUNAL DE LO CONTENCIOSO ADMINISTRATIVO DEL ESTADO DE GUANAJUATO. </w:t>
      </w:r>
      <w:r>
        <w:rPr>
          <w:vertAlign w:val="superscript"/>
        </w:rPr>
        <w:t>1</w:t>
      </w:r>
    </w:p>
    <w:p>
      <w:pPr>
        <w:pStyle w:val="BodyText"/>
        <w:rPr>
          <w:b/>
          <w:sz w:val="28"/>
        </w:rPr>
      </w:pPr>
    </w:p>
    <w:p>
      <w:pPr>
        <w:pStyle w:val="BodyText"/>
        <w:rPr>
          <w:b/>
          <w:sz w:val="28"/>
        </w:rPr>
      </w:pPr>
    </w:p>
    <w:p>
      <w:pPr>
        <w:pStyle w:val="BodyText"/>
        <w:spacing w:before="39"/>
        <w:rPr>
          <w:b/>
          <w:sz w:val="28"/>
        </w:rPr>
      </w:pPr>
    </w:p>
    <w:p>
      <w:pPr>
        <w:pStyle w:val="BodyText"/>
        <w:ind w:left="2" w:right="136"/>
        <w:jc w:val="both"/>
      </w:pPr>
      <w:r>
        <w:rPr/>
        <w:t>El Pleno del Tribunal de lo Contencioso Administrativo del Estado de Guanajuato, con fundamento en el artículo 11, fracción VII, del Reglamento Interior del Tribunal, así como en el</w:t>
      </w:r>
      <w:r>
        <w:rPr>
          <w:spacing w:val="-1"/>
        </w:rPr>
        <w:t> </w:t>
      </w:r>
      <w:r>
        <w:rPr/>
        <w:t>artículo</w:t>
      </w:r>
      <w:r>
        <w:rPr>
          <w:spacing w:val="-1"/>
        </w:rPr>
        <w:t> </w:t>
      </w:r>
      <w:r>
        <w:rPr/>
        <w:t>3,</w:t>
      </w:r>
      <w:r>
        <w:rPr>
          <w:spacing w:val="-1"/>
        </w:rPr>
        <w:t> </w:t>
      </w:r>
      <w:r>
        <w:rPr/>
        <w:t>fracción</w:t>
      </w:r>
      <w:r>
        <w:rPr>
          <w:spacing w:val="-1"/>
        </w:rPr>
        <w:t> </w:t>
      </w:r>
      <w:r>
        <w:rPr/>
        <w:t>I,</w:t>
      </w:r>
      <w:r>
        <w:rPr>
          <w:spacing w:val="-2"/>
        </w:rPr>
        <w:t> </w:t>
      </w:r>
      <w:r>
        <w:rPr/>
        <w:t>y</w:t>
      </w:r>
      <w:r>
        <w:rPr>
          <w:spacing w:val="-2"/>
        </w:rPr>
        <w:t> </w:t>
      </w:r>
      <w:r>
        <w:rPr/>
        <w:t>5</w:t>
      </w:r>
      <w:r>
        <w:rPr>
          <w:spacing w:val="-1"/>
        </w:rPr>
        <w:t> </w:t>
      </w:r>
      <w:r>
        <w:rPr/>
        <w:t>del</w:t>
      </w:r>
      <w:r>
        <w:rPr>
          <w:spacing w:val="-1"/>
        </w:rPr>
        <w:t> </w:t>
      </w:r>
      <w:r>
        <w:rPr/>
        <w:t>Reglamento Interior sobre</w:t>
      </w:r>
      <w:r>
        <w:rPr>
          <w:spacing w:val="-1"/>
        </w:rPr>
        <w:t> </w:t>
      </w:r>
      <w:r>
        <w:rPr/>
        <w:t>el</w:t>
      </w:r>
      <w:r>
        <w:rPr>
          <w:spacing w:val="-1"/>
        </w:rPr>
        <w:t> </w:t>
      </w:r>
      <w:r>
        <w:rPr/>
        <w:t>Uso</w:t>
      </w:r>
      <w:r>
        <w:rPr>
          <w:spacing w:val="-1"/>
        </w:rPr>
        <w:t> </w:t>
      </w:r>
      <w:r>
        <w:rPr/>
        <w:t>de</w:t>
      </w:r>
      <w:r>
        <w:rPr>
          <w:spacing w:val="-1"/>
        </w:rPr>
        <w:t> </w:t>
      </w:r>
      <w:r>
        <w:rPr/>
        <w:t>Medios</w:t>
      </w:r>
      <w:r>
        <w:rPr>
          <w:spacing w:val="-1"/>
        </w:rPr>
        <w:t> </w:t>
      </w:r>
      <w:r>
        <w:rPr/>
        <w:t>Electrónicos y Firma Electrónica, este mismo Órgano Jurisdiccional, expiden las presentes Bases para el acceso a la prestación de los servicios del Sistema Informático del Tribunal de lo Contencioso Administrativo del Estado de Guanajuato, al siguiente tenor:</w:t>
      </w:r>
    </w:p>
    <w:p>
      <w:pPr>
        <w:pStyle w:val="BodyText"/>
      </w:pPr>
    </w:p>
    <w:p>
      <w:pPr>
        <w:pStyle w:val="BodyText"/>
        <w:spacing w:before="189"/>
      </w:pPr>
    </w:p>
    <w:p>
      <w:pPr>
        <w:pStyle w:val="BodyText"/>
        <w:ind w:left="2"/>
        <w:jc w:val="both"/>
      </w:pPr>
      <w:r>
        <w:rPr>
          <w:b/>
        </w:rPr>
        <w:t>PRIMERA</w:t>
      </w:r>
      <w:r>
        <w:rPr/>
        <w:t>.</w:t>
      </w:r>
      <w:r>
        <w:rPr>
          <w:spacing w:val="-4"/>
        </w:rPr>
        <w:t> </w:t>
      </w:r>
      <w:r>
        <w:rPr/>
        <w:t>El</w:t>
      </w:r>
      <w:r>
        <w:rPr>
          <w:spacing w:val="-3"/>
        </w:rPr>
        <w:t> </w:t>
      </w:r>
      <w:r>
        <w:rPr/>
        <w:t>Sistema</w:t>
      </w:r>
      <w:r>
        <w:rPr>
          <w:spacing w:val="-5"/>
        </w:rPr>
        <w:t> </w:t>
      </w:r>
      <w:r>
        <w:rPr/>
        <w:t>Informático</w:t>
      </w:r>
      <w:r>
        <w:rPr>
          <w:spacing w:val="-1"/>
        </w:rPr>
        <w:t> </w:t>
      </w:r>
      <w:r>
        <w:rPr/>
        <w:t>del</w:t>
      </w:r>
      <w:r>
        <w:rPr>
          <w:spacing w:val="-5"/>
        </w:rPr>
        <w:t> </w:t>
      </w:r>
      <w:r>
        <w:rPr/>
        <w:t>Tribunal</w:t>
      </w:r>
      <w:r>
        <w:rPr>
          <w:spacing w:val="-1"/>
        </w:rPr>
        <w:t> </w:t>
      </w:r>
      <w:r>
        <w:rPr/>
        <w:t>contará</w:t>
      </w:r>
      <w:r>
        <w:rPr>
          <w:spacing w:val="-4"/>
        </w:rPr>
        <w:t> </w:t>
      </w:r>
      <w:r>
        <w:rPr/>
        <w:t>con</w:t>
      </w:r>
      <w:r>
        <w:rPr>
          <w:spacing w:val="-4"/>
        </w:rPr>
        <w:t> </w:t>
      </w:r>
      <w:r>
        <w:rPr/>
        <w:t>los</w:t>
      </w:r>
      <w:r>
        <w:rPr>
          <w:spacing w:val="-2"/>
        </w:rPr>
        <w:t> </w:t>
      </w:r>
      <w:r>
        <w:rPr/>
        <w:t>siguientes</w:t>
      </w:r>
      <w:r>
        <w:rPr>
          <w:spacing w:val="-2"/>
        </w:rPr>
        <w:t> servicios:</w:t>
      </w:r>
    </w:p>
    <w:p>
      <w:pPr>
        <w:pStyle w:val="ListParagraph"/>
        <w:numPr>
          <w:ilvl w:val="0"/>
          <w:numId w:val="1"/>
        </w:numPr>
        <w:tabs>
          <w:tab w:pos="714" w:val="left" w:leader="none"/>
        </w:tabs>
        <w:spacing w:line="240" w:lineRule="auto" w:before="240" w:after="0"/>
        <w:ind w:left="714" w:right="0" w:hanging="484"/>
        <w:jc w:val="left"/>
        <w:rPr>
          <w:sz w:val="24"/>
        </w:rPr>
      </w:pPr>
      <w:r>
        <w:rPr>
          <w:sz w:val="24"/>
        </w:rPr>
        <w:t>Notificaciones</w:t>
      </w:r>
      <w:r>
        <w:rPr>
          <w:spacing w:val="-7"/>
          <w:sz w:val="24"/>
        </w:rPr>
        <w:t> </w:t>
      </w:r>
      <w:r>
        <w:rPr>
          <w:spacing w:val="-2"/>
          <w:sz w:val="24"/>
        </w:rPr>
        <w:t>electrónicas;</w:t>
      </w:r>
    </w:p>
    <w:p>
      <w:pPr>
        <w:pStyle w:val="ListParagraph"/>
        <w:numPr>
          <w:ilvl w:val="0"/>
          <w:numId w:val="1"/>
        </w:numPr>
        <w:tabs>
          <w:tab w:pos="714" w:val="left" w:leader="none"/>
        </w:tabs>
        <w:spacing w:line="240" w:lineRule="auto" w:before="240" w:after="0"/>
        <w:ind w:left="714" w:right="0" w:hanging="547"/>
        <w:jc w:val="left"/>
        <w:rPr>
          <w:sz w:val="24"/>
        </w:rPr>
      </w:pPr>
      <w:r>
        <w:rPr>
          <w:sz w:val="24"/>
        </w:rPr>
        <w:t>Consulta</w:t>
      </w:r>
      <w:r>
        <w:rPr>
          <w:spacing w:val="-5"/>
          <w:sz w:val="24"/>
        </w:rPr>
        <w:t> </w:t>
      </w:r>
      <w:r>
        <w:rPr>
          <w:sz w:val="24"/>
        </w:rPr>
        <w:t>Electrónica</w:t>
      </w:r>
      <w:r>
        <w:rPr>
          <w:spacing w:val="-5"/>
          <w:sz w:val="24"/>
        </w:rPr>
        <w:t> </w:t>
      </w:r>
      <w:r>
        <w:rPr>
          <w:sz w:val="24"/>
        </w:rPr>
        <w:t>de</w:t>
      </w:r>
      <w:r>
        <w:rPr>
          <w:spacing w:val="-6"/>
          <w:sz w:val="24"/>
        </w:rPr>
        <w:t> </w:t>
      </w:r>
      <w:r>
        <w:rPr>
          <w:spacing w:val="-2"/>
          <w:sz w:val="24"/>
        </w:rPr>
        <w:t>Expedientes;</w:t>
      </w:r>
    </w:p>
    <w:p>
      <w:pPr>
        <w:pStyle w:val="ListParagraph"/>
        <w:numPr>
          <w:ilvl w:val="0"/>
          <w:numId w:val="1"/>
        </w:numPr>
        <w:tabs>
          <w:tab w:pos="714" w:val="left" w:leader="none"/>
        </w:tabs>
        <w:spacing w:line="240" w:lineRule="auto" w:before="240" w:after="0"/>
        <w:ind w:left="714" w:right="0" w:hanging="612"/>
        <w:jc w:val="left"/>
        <w:rPr>
          <w:sz w:val="24"/>
        </w:rPr>
      </w:pPr>
      <w:r>
        <w:rPr>
          <w:sz w:val="24"/>
        </w:rPr>
        <w:t>Dirección</w:t>
      </w:r>
      <w:r>
        <w:rPr>
          <w:spacing w:val="-1"/>
          <w:sz w:val="24"/>
        </w:rPr>
        <w:t> </w:t>
      </w:r>
      <w:r>
        <w:rPr>
          <w:sz w:val="24"/>
        </w:rPr>
        <w:t>de</w:t>
      </w:r>
      <w:r>
        <w:rPr>
          <w:spacing w:val="-4"/>
          <w:sz w:val="24"/>
        </w:rPr>
        <w:t> </w:t>
      </w:r>
      <w:r>
        <w:rPr>
          <w:sz w:val="24"/>
        </w:rPr>
        <w:t>correo</w:t>
      </w:r>
      <w:r>
        <w:rPr>
          <w:spacing w:val="-3"/>
          <w:sz w:val="24"/>
        </w:rPr>
        <w:t> </w:t>
      </w:r>
      <w:r>
        <w:rPr>
          <w:sz w:val="24"/>
        </w:rPr>
        <w:t>electrónico;</w:t>
      </w:r>
      <w:r>
        <w:rPr>
          <w:spacing w:val="-3"/>
          <w:sz w:val="24"/>
        </w:rPr>
        <w:t> </w:t>
      </w:r>
      <w:r>
        <w:rPr>
          <w:spacing w:val="-10"/>
          <w:sz w:val="24"/>
        </w:rPr>
        <w:t>y</w:t>
      </w:r>
    </w:p>
    <w:p>
      <w:pPr>
        <w:pStyle w:val="ListParagraph"/>
        <w:numPr>
          <w:ilvl w:val="0"/>
          <w:numId w:val="1"/>
        </w:numPr>
        <w:tabs>
          <w:tab w:pos="714" w:val="left" w:leader="none"/>
        </w:tabs>
        <w:spacing w:line="240" w:lineRule="auto" w:before="240" w:after="0"/>
        <w:ind w:left="714" w:right="0" w:hanging="626"/>
        <w:jc w:val="left"/>
        <w:rPr>
          <w:sz w:val="24"/>
        </w:rPr>
      </w:pPr>
      <w:r>
        <w:rPr>
          <w:sz w:val="24"/>
        </w:rPr>
        <w:t>Cualquier</w:t>
      </w:r>
      <w:r>
        <w:rPr>
          <w:spacing w:val="-2"/>
          <w:sz w:val="24"/>
        </w:rPr>
        <w:t> </w:t>
      </w:r>
      <w:r>
        <w:rPr>
          <w:sz w:val="24"/>
        </w:rPr>
        <w:t>otro</w:t>
      </w:r>
      <w:r>
        <w:rPr>
          <w:spacing w:val="-4"/>
          <w:sz w:val="24"/>
        </w:rPr>
        <w:t> </w:t>
      </w:r>
      <w:r>
        <w:rPr>
          <w:sz w:val="24"/>
        </w:rPr>
        <w:t>que</w:t>
      </w:r>
      <w:r>
        <w:rPr>
          <w:spacing w:val="-4"/>
          <w:sz w:val="24"/>
        </w:rPr>
        <w:t> </w:t>
      </w:r>
      <w:r>
        <w:rPr>
          <w:sz w:val="24"/>
        </w:rPr>
        <w:t>determine</w:t>
      </w:r>
      <w:r>
        <w:rPr>
          <w:spacing w:val="-2"/>
          <w:sz w:val="24"/>
        </w:rPr>
        <w:t> </w:t>
      </w:r>
      <w:r>
        <w:rPr>
          <w:sz w:val="24"/>
        </w:rPr>
        <w:t>el</w:t>
      </w:r>
      <w:r>
        <w:rPr>
          <w:spacing w:val="-2"/>
          <w:sz w:val="24"/>
        </w:rPr>
        <w:t> Tribunal.</w:t>
      </w:r>
    </w:p>
    <w:p>
      <w:pPr>
        <w:pStyle w:val="BodyText"/>
      </w:pPr>
    </w:p>
    <w:p>
      <w:pPr>
        <w:pStyle w:val="BodyText"/>
        <w:spacing w:before="186"/>
      </w:pPr>
    </w:p>
    <w:p>
      <w:pPr>
        <w:pStyle w:val="BodyText"/>
        <w:ind w:left="2" w:right="138"/>
        <w:jc w:val="both"/>
      </w:pPr>
      <w:r>
        <w:rPr>
          <w:b/>
        </w:rPr>
        <w:t>SEGUNDA</w:t>
      </w:r>
      <w:r>
        <w:rPr/>
        <w:t>. Los servicios mencionados en la base anterior se regirán por lo dispuesto en la Ley sobre el Uso de Medios Electrónicos y Firma Electrónica para el Estado de Guanajuato y sus Municipios, el Código de Procedimiento y Justicia Administrativa para el Estado y los Municipios de Guanajuato y el Reglamento Interior sobre el Uso de Medios Electrónicos y Firma</w:t>
      </w:r>
      <w:r>
        <w:rPr>
          <w:spacing w:val="-1"/>
        </w:rPr>
        <w:t> </w:t>
      </w:r>
      <w:r>
        <w:rPr/>
        <w:t>Electrónica</w:t>
      </w:r>
      <w:r>
        <w:rPr>
          <w:spacing w:val="-4"/>
        </w:rPr>
        <w:t> </w:t>
      </w:r>
      <w:r>
        <w:rPr/>
        <w:t>del</w:t>
      </w:r>
      <w:r>
        <w:rPr>
          <w:spacing w:val="-1"/>
        </w:rPr>
        <w:t> </w:t>
      </w:r>
      <w:r>
        <w:rPr/>
        <w:t>Tribunal</w:t>
      </w:r>
      <w:r>
        <w:rPr>
          <w:spacing w:val="-1"/>
        </w:rPr>
        <w:t> </w:t>
      </w:r>
      <w:r>
        <w:rPr/>
        <w:t>de</w:t>
      </w:r>
      <w:r>
        <w:rPr>
          <w:spacing w:val="-1"/>
        </w:rPr>
        <w:t> </w:t>
      </w:r>
      <w:r>
        <w:rPr/>
        <w:t>lo</w:t>
      </w:r>
      <w:r>
        <w:rPr>
          <w:spacing w:val="-3"/>
        </w:rPr>
        <w:t> </w:t>
      </w:r>
      <w:r>
        <w:rPr/>
        <w:t>Contencioso</w:t>
      </w:r>
      <w:r>
        <w:rPr>
          <w:spacing w:val="-3"/>
        </w:rPr>
        <w:t> </w:t>
      </w:r>
      <w:r>
        <w:rPr/>
        <w:t>Administrativo</w:t>
      </w:r>
      <w:r>
        <w:rPr>
          <w:spacing w:val="-1"/>
        </w:rPr>
        <w:t> </w:t>
      </w:r>
      <w:r>
        <w:rPr/>
        <w:t>del Estado</w:t>
      </w:r>
      <w:r>
        <w:rPr>
          <w:spacing w:val="-1"/>
        </w:rPr>
        <w:t> </w:t>
      </w:r>
      <w:r>
        <w:rPr/>
        <w:t>de</w:t>
      </w:r>
      <w:r>
        <w:rPr>
          <w:spacing w:val="-3"/>
        </w:rPr>
        <w:t> </w:t>
      </w:r>
      <w:r>
        <w:rPr/>
        <w:t>Guanajuato, en los términos y condiciones establecidos en estas Bases y en los manuales de usuario que se expidan para tal efecto.</w:t>
      </w:r>
    </w:p>
    <w:p>
      <w:pPr>
        <w:pStyle w:val="BodyText"/>
      </w:pPr>
    </w:p>
    <w:p>
      <w:pPr>
        <w:pStyle w:val="BodyText"/>
        <w:spacing w:before="189"/>
      </w:pPr>
    </w:p>
    <w:p>
      <w:pPr>
        <w:pStyle w:val="BodyText"/>
        <w:ind w:left="2" w:right="140"/>
        <w:jc w:val="both"/>
      </w:pPr>
      <w:r>
        <w:rPr>
          <w:b/>
        </w:rPr>
        <w:t>TERCERA</w:t>
      </w:r>
      <w:r>
        <w:rPr/>
        <w:t>. Para la interpretación y aplicación de estas Bases, se aplicará el glosario contenido en el artículo 3 del Reglamento Interior sobre el Uso de Medios Electrónicos y Firma Electrónica del Tribunal.</w:t>
      </w:r>
    </w:p>
    <w:p>
      <w:pPr>
        <w:pStyle w:val="BodyText"/>
        <w:rPr>
          <w:sz w:val="20"/>
        </w:rPr>
      </w:pPr>
    </w:p>
    <w:p>
      <w:pPr>
        <w:pStyle w:val="BodyText"/>
        <w:rPr>
          <w:sz w:val="20"/>
        </w:rPr>
      </w:pPr>
    </w:p>
    <w:p>
      <w:pPr>
        <w:pStyle w:val="BodyText"/>
        <w:rPr>
          <w:sz w:val="20"/>
        </w:rPr>
      </w:pPr>
    </w:p>
    <w:p>
      <w:pPr>
        <w:pStyle w:val="BodyText"/>
        <w:spacing w:before="115"/>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243815</wp:posOffset>
                </wp:positionV>
                <wp:extent cx="1829435"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198051pt;width:144.020pt;height:.599980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9"/>
        <w:ind w:left="2" w:right="0" w:firstLine="0"/>
        <w:jc w:val="left"/>
        <w:rPr>
          <w:sz w:val="20"/>
        </w:rPr>
      </w:pPr>
      <w:r>
        <w:rPr>
          <w:rFonts w:ascii="Times New Roman" w:hAnsi="Times New Roman"/>
          <w:sz w:val="20"/>
          <w:vertAlign w:val="superscript"/>
        </w:rPr>
        <w:t>1</w:t>
      </w:r>
      <w:r>
        <w:rPr>
          <w:rFonts w:ascii="Times New Roman" w:hAnsi="Times New Roman"/>
          <w:spacing w:val="-6"/>
          <w:sz w:val="20"/>
          <w:vertAlign w:val="baseline"/>
        </w:rPr>
        <w:t> </w:t>
      </w:r>
      <w:r>
        <w:rPr>
          <w:sz w:val="20"/>
          <w:vertAlign w:val="baseline"/>
        </w:rPr>
        <w:t>Aprobadas</w:t>
      </w:r>
      <w:r>
        <w:rPr>
          <w:spacing w:val="-6"/>
          <w:sz w:val="20"/>
          <w:vertAlign w:val="baseline"/>
        </w:rPr>
        <w:t> </w:t>
      </w:r>
      <w:r>
        <w:rPr>
          <w:sz w:val="20"/>
          <w:vertAlign w:val="baseline"/>
        </w:rPr>
        <w:t>en</w:t>
      </w:r>
      <w:r>
        <w:rPr>
          <w:spacing w:val="-4"/>
          <w:sz w:val="20"/>
          <w:vertAlign w:val="baseline"/>
        </w:rPr>
        <w:t> </w:t>
      </w:r>
      <w:r>
        <w:rPr>
          <w:sz w:val="20"/>
          <w:vertAlign w:val="baseline"/>
        </w:rPr>
        <w:t>sesión</w:t>
      </w:r>
      <w:r>
        <w:rPr>
          <w:spacing w:val="-2"/>
          <w:sz w:val="20"/>
          <w:vertAlign w:val="baseline"/>
        </w:rPr>
        <w:t> </w:t>
      </w:r>
      <w:r>
        <w:rPr>
          <w:sz w:val="20"/>
          <w:vertAlign w:val="baseline"/>
        </w:rPr>
        <w:t>ordinaria</w:t>
      </w:r>
      <w:r>
        <w:rPr>
          <w:spacing w:val="-5"/>
          <w:sz w:val="20"/>
          <w:vertAlign w:val="baseline"/>
        </w:rPr>
        <w:t> </w:t>
      </w:r>
      <w:r>
        <w:rPr>
          <w:sz w:val="20"/>
          <w:vertAlign w:val="baseline"/>
        </w:rPr>
        <w:t>de</w:t>
      </w:r>
      <w:r>
        <w:rPr>
          <w:spacing w:val="-6"/>
          <w:sz w:val="20"/>
          <w:vertAlign w:val="baseline"/>
        </w:rPr>
        <w:t> </w:t>
      </w:r>
      <w:r>
        <w:rPr>
          <w:sz w:val="20"/>
          <w:vertAlign w:val="baseline"/>
        </w:rPr>
        <w:t>Pleno</w:t>
      </w:r>
      <w:r>
        <w:rPr>
          <w:spacing w:val="-5"/>
          <w:sz w:val="20"/>
          <w:vertAlign w:val="baseline"/>
        </w:rPr>
        <w:t> </w:t>
      </w:r>
      <w:r>
        <w:rPr>
          <w:sz w:val="20"/>
          <w:vertAlign w:val="baseline"/>
        </w:rPr>
        <w:t>número</w:t>
      </w:r>
      <w:r>
        <w:rPr>
          <w:spacing w:val="-5"/>
          <w:sz w:val="20"/>
          <w:vertAlign w:val="baseline"/>
        </w:rPr>
        <w:t> </w:t>
      </w:r>
      <w:r>
        <w:rPr>
          <w:sz w:val="20"/>
          <w:vertAlign w:val="baseline"/>
        </w:rPr>
        <w:t>47,</w:t>
      </w:r>
      <w:r>
        <w:rPr>
          <w:spacing w:val="-4"/>
          <w:sz w:val="20"/>
          <w:vertAlign w:val="baseline"/>
        </w:rPr>
        <w:t> </w:t>
      </w:r>
      <w:r>
        <w:rPr>
          <w:sz w:val="20"/>
          <w:vertAlign w:val="baseline"/>
        </w:rPr>
        <w:t>celebrada</w:t>
      </w:r>
      <w:r>
        <w:rPr>
          <w:spacing w:val="-5"/>
          <w:sz w:val="20"/>
          <w:vertAlign w:val="baseline"/>
        </w:rPr>
        <w:t> </w:t>
      </w:r>
      <w:r>
        <w:rPr>
          <w:sz w:val="20"/>
          <w:vertAlign w:val="baseline"/>
        </w:rPr>
        <w:t>el</w:t>
      </w:r>
      <w:r>
        <w:rPr>
          <w:spacing w:val="-6"/>
          <w:sz w:val="20"/>
          <w:vertAlign w:val="baseline"/>
        </w:rPr>
        <w:t> </w:t>
      </w:r>
      <w:r>
        <w:rPr>
          <w:sz w:val="20"/>
          <w:vertAlign w:val="baseline"/>
        </w:rPr>
        <w:t>13</w:t>
      </w:r>
      <w:r>
        <w:rPr>
          <w:spacing w:val="-6"/>
          <w:sz w:val="20"/>
          <w:vertAlign w:val="baseline"/>
        </w:rPr>
        <w:t> </w:t>
      </w:r>
      <w:r>
        <w:rPr>
          <w:sz w:val="20"/>
          <w:vertAlign w:val="baseline"/>
        </w:rPr>
        <w:t>de</w:t>
      </w:r>
      <w:r>
        <w:rPr>
          <w:spacing w:val="-5"/>
          <w:sz w:val="20"/>
          <w:vertAlign w:val="baseline"/>
        </w:rPr>
        <w:t> </w:t>
      </w:r>
      <w:r>
        <w:rPr>
          <w:sz w:val="20"/>
          <w:vertAlign w:val="baseline"/>
        </w:rPr>
        <w:t>diciembre</w:t>
      </w:r>
      <w:r>
        <w:rPr>
          <w:spacing w:val="-6"/>
          <w:sz w:val="20"/>
          <w:vertAlign w:val="baseline"/>
        </w:rPr>
        <w:t> </w:t>
      </w:r>
      <w:r>
        <w:rPr>
          <w:sz w:val="20"/>
          <w:vertAlign w:val="baseline"/>
        </w:rPr>
        <w:t>de</w:t>
      </w:r>
      <w:r>
        <w:rPr>
          <w:spacing w:val="-6"/>
          <w:sz w:val="20"/>
          <w:vertAlign w:val="baseline"/>
        </w:rPr>
        <w:t> </w:t>
      </w:r>
      <w:r>
        <w:rPr>
          <w:spacing w:val="-2"/>
          <w:sz w:val="20"/>
          <w:vertAlign w:val="baseline"/>
        </w:rPr>
        <w:t>2012.</w:t>
      </w:r>
    </w:p>
    <w:p>
      <w:pPr>
        <w:spacing w:after="0"/>
        <w:jc w:val="left"/>
        <w:rPr>
          <w:sz w:val="20"/>
        </w:rPr>
        <w:sectPr>
          <w:type w:val="continuous"/>
          <w:pgSz w:w="12250" w:h="15850"/>
          <w:pgMar w:top="1400" w:bottom="280" w:left="1700" w:right="1559"/>
        </w:sectPr>
      </w:pPr>
    </w:p>
    <w:p>
      <w:pPr>
        <w:pStyle w:val="BodyText"/>
        <w:spacing w:before="36"/>
        <w:ind w:left="2" w:right="146"/>
        <w:jc w:val="both"/>
      </w:pPr>
      <w:r>
        <w:rPr>
          <w:b/>
        </w:rPr>
        <w:t>CUARTA</w:t>
      </w:r>
      <w:r>
        <w:rPr/>
        <w:t>. De conformidad con lo dispuesto por el artículo 24 del Código de Procedimiento y Justicia Administrativa para el Estado y los Municipios de Guanajuato, este Tribunal determina que, en todos los casos, el contenido de cualquier mensaje de datos que contenga una notificación realizada por medios electrónicos, deberá hacerse constar íntegramente en forma impresa e integrarse al expediente respectivo.</w:t>
      </w:r>
    </w:p>
    <w:p>
      <w:pPr>
        <w:pStyle w:val="BodyText"/>
      </w:pPr>
    </w:p>
    <w:p>
      <w:pPr>
        <w:pStyle w:val="BodyText"/>
        <w:spacing w:before="185"/>
      </w:pPr>
    </w:p>
    <w:p>
      <w:pPr>
        <w:pStyle w:val="BodyText"/>
        <w:spacing w:before="1"/>
        <w:ind w:left="2" w:right="140"/>
        <w:jc w:val="both"/>
      </w:pPr>
      <w:r>
        <w:rPr>
          <w:b/>
        </w:rPr>
        <w:t>QUINTA</w:t>
      </w:r>
      <w:r>
        <w:rPr/>
        <w:t>. La información contenida en el servicio de Consulta Electrónica de Expedientes será meramente informativa.</w:t>
      </w:r>
    </w:p>
    <w:p>
      <w:pPr>
        <w:pStyle w:val="BodyText"/>
        <w:spacing w:before="239"/>
        <w:ind w:left="2" w:right="149"/>
        <w:jc w:val="both"/>
      </w:pPr>
      <w:r>
        <w:rPr/>
        <w:t>Los</w:t>
      </w:r>
      <w:r>
        <w:rPr>
          <w:spacing w:val="-2"/>
        </w:rPr>
        <w:t> </w:t>
      </w:r>
      <w:r>
        <w:rPr/>
        <w:t>contenidos</w:t>
      </w:r>
      <w:r>
        <w:rPr>
          <w:spacing w:val="-3"/>
        </w:rPr>
        <w:t> </w:t>
      </w:r>
      <w:r>
        <w:rPr/>
        <w:t>que</w:t>
      </w:r>
      <w:r>
        <w:rPr>
          <w:spacing w:val="-2"/>
        </w:rPr>
        <w:t> </w:t>
      </w:r>
      <w:r>
        <w:rPr/>
        <w:t>se</w:t>
      </w:r>
      <w:r>
        <w:rPr>
          <w:spacing w:val="-2"/>
        </w:rPr>
        <w:t> </w:t>
      </w:r>
      <w:r>
        <w:rPr/>
        <w:t>publiquen</w:t>
      </w:r>
      <w:r>
        <w:rPr>
          <w:spacing w:val="-2"/>
        </w:rPr>
        <w:t> </w:t>
      </w:r>
      <w:r>
        <w:rPr/>
        <w:t>a</w:t>
      </w:r>
      <w:r>
        <w:rPr>
          <w:spacing w:val="-3"/>
        </w:rPr>
        <w:t> </w:t>
      </w:r>
      <w:r>
        <w:rPr/>
        <w:t>través</w:t>
      </w:r>
      <w:r>
        <w:rPr>
          <w:spacing w:val="-3"/>
        </w:rPr>
        <w:t> </w:t>
      </w:r>
      <w:r>
        <w:rPr/>
        <w:t>de</w:t>
      </w:r>
      <w:r>
        <w:rPr>
          <w:spacing w:val="-2"/>
        </w:rPr>
        <w:t> </w:t>
      </w:r>
      <w:r>
        <w:rPr/>
        <w:t>este</w:t>
      </w:r>
      <w:r>
        <w:rPr>
          <w:spacing w:val="-2"/>
        </w:rPr>
        <w:t> </w:t>
      </w:r>
      <w:r>
        <w:rPr/>
        <w:t>servicio</w:t>
      </w:r>
      <w:r>
        <w:rPr>
          <w:spacing w:val="-2"/>
        </w:rPr>
        <w:t> </w:t>
      </w:r>
      <w:r>
        <w:rPr/>
        <w:t>no</w:t>
      </w:r>
      <w:r>
        <w:rPr>
          <w:spacing w:val="-2"/>
        </w:rPr>
        <w:t> </w:t>
      </w:r>
      <w:r>
        <w:rPr/>
        <w:t>constituirán</w:t>
      </w:r>
      <w:r>
        <w:rPr>
          <w:spacing w:val="-4"/>
        </w:rPr>
        <w:t> </w:t>
      </w:r>
      <w:r>
        <w:rPr/>
        <w:t>notificaciones</w:t>
      </w:r>
      <w:r>
        <w:rPr>
          <w:spacing w:val="-3"/>
        </w:rPr>
        <w:t> </w:t>
      </w:r>
      <w:r>
        <w:rPr/>
        <w:t>en relación con los acuerdos incorporados a los expedientes.</w:t>
      </w:r>
    </w:p>
    <w:p>
      <w:pPr>
        <w:pStyle w:val="BodyText"/>
      </w:pPr>
    </w:p>
    <w:p>
      <w:pPr>
        <w:pStyle w:val="BodyText"/>
        <w:spacing w:before="190"/>
      </w:pPr>
    </w:p>
    <w:p>
      <w:pPr>
        <w:pStyle w:val="BodyText"/>
        <w:ind w:left="2" w:right="136"/>
        <w:jc w:val="both"/>
      </w:pPr>
      <w:r>
        <w:rPr>
          <w:b/>
        </w:rPr>
        <w:t>SEXTA. </w:t>
      </w:r>
      <w:r>
        <w:rPr/>
        <w:t>Las notificaciones realizadas por medios electrónicos a través de mensajes de datos, así como los acuses de recibo electrónicos que estén contenidos en el servicio de dirección electrónica, tendrán la validez jurídica que los ordenamientos legales les </w:t>
      </w:r>
      <w:r>
        <w:rPr>
          <w:spacing w:val="-2"/>
        </w:rPr>
        <w:t>otorguen.</w:t>
      </w:r>
    </w:p>
    <w:p>
      <w:pPr>
        <w:pStyle w:val="BodyText"/>
      </w:pPr>
    </w:p>
    <w:p>
      <w:pPr>
        <w:pStyle w:val="BodyText"/>
        <w:spacing w:before="186"/>
      </w:pPr>
    </w:p>
    <w:p>
      <w:pPr>
        <w:pStyle w:val="BodyText"/>
        <w:ind w:left="2" w:right="138"/>
        <w:jc w:val="both"/>
      </w:pPr>
      <w:r>
        <w:rPr>
          <w:b/>
        </w:rPr>
        <w:t>SÉPTIMA</w:t>
      </w:r>
      <w:r>
        <w:rPr/>
        <w:t>. La confidencialidad de la información será garantizada por los métodos seguros de encriptamiento y comunicaciones que proporcionan los servicios del Sistema Informático del Tribunal.</w:t>
      </w:r>
    </w:p>
    <w:p>
      <w:pPr>
        <w:pStyle w:val="BodyText"/>
      </w:pPr>
    </w:p>
    <w:p>
      <w:pPr>
        <w:pStyle w:val="BodyText"/>
        <w:spacing w:before="187"/>
      </w:pPr>
    </w:p>
    <w:p>
      <w:pPr>
        <w:pStyle w:val="BodyText"/>
        <w:ind w:left="2" w:right="136"/>
        <w:jc w:val="both"/>
      </w:pPr>
      <w:r>
        <w:rPr>
          <w:b/>
        </w:rPr>
        <w:t>OCTAVA. </w:t>
      </w:r>
      <w:r>
        <w:rPr/>
        <w:t>El trámite para acceder a los servicios del Sistema Informático del Tribunal se regirá, además, por lo siguiente:</w:t>
      </w:r>
    </w:p>
    <w:p>
      <w:pPr>
        <w:pStyle w:val="ListParagraph"/>
        <w:numPr>
          <w:ilvl w:val="0"/>
          <w:numId w:val="2"/>
        </w:numPr>
        <w:tabs>
          <w:tab w:pos="709" w:val="left" w:leader="none"/>
        </w:tabs>
        <w:spacing w:line="240" w:lineRule="auto" w:before="239" w:after="0"/>
        <w:ind w:left="2" w:right="140" w:firstLine="0"/>
        <w:jc w:val="left"/>
        <w:rPr>
          <w:sz w:val="24"/>
        </w:rPr>
      </w:pPr>
      <w:r>
        <w:rPr>
          <w:sz w:val="24"/>
        </w:rPr>
        <w:t>El</w:t>
      </w:r>
      <w:r>
        <w:rPr>
          <w:spacing w:val="78"/>
          <w:sz w:val="24"/>
        </w:rPr>
        <w:t> </w:t>
      </w:r>
      <w:r>
        <w:rPr>
          <w:sz w:val="24"/>
        </w:rPr>
        <w:t>interesado</w:t>
      </w:r>
      <w:r>
        <w:rPr>
          <w:spacing w:val="78"/>
          <w:sz w:val="24"/>
        </w:rPr>
        <w:t> </w:t>
      </w:r>
      <w:r>
        <w:rPr>
          <w:sz w:val="24"/>
        </w:rPr>
        <w:t>deberá</w:t>
      </w:r>
      <w:r>
        <w:rPr>
          <w:spacing w:val="78"/>
          <w:sz w:val="24"/>
        </w:rPr>
        <w:t> </w:t>
      </w:r>
      <w:r>
        <w:rPr>
          <w:sz w:val="24"/>
        </w:rPr>
        <w:t>acudir</w:t>
      </w:r>
      <w:r>
        <w:rPr>
          <w:spacing w:val="77"/>
          <w:sz w:val="24"/>
        </w:rPr>
        <w:t> </w:t>
      </w:r>
      <w:r>
        <w:rPr>
          <w:sz w:val="24"/>
        </w:rPr>
        <w:t>de</w:t>
      </w:r>
      <w:r>
        <w:rPr>
          <w:spacing w:val="78"/>
          <w:sz w:val="24"/>
        </w:rPr>
        <w:t> </w:t>
      </w:r>
      <w:r>
        <w:rPr>
          <w:sz w:val="24"/>
        </w:rPr>
        <w:t>manera</w:t>
      </w:r>
      <w:r>
        <w:rPr>
          <w:spacing w:val="78"/>
          <w:sz w:val="24"/>
        </w:rPr>
        <w:t> </w:t>
      </w:r>
      <w:r>
        <w:rPr>
          <w:sz w:val="24"/>
        </w:rPr>
        <w:t>personal</w:t>
      </w:r>
      <w:r>
        <w:rPr>
          <w:spacing w:val="78"/>
          <w:sz w:val="24"/>
        </w:rPr>
        <w:t> </w:t>
      </w:r>
      <w:r>
        <w:rPr>
          <w:sz w:val="24"/>
        </w:rPr>
        <w:t>a</w:t>
      </w:r>
      <w:r>
        <w:rPr>
          <w:spacing w:val="80"/>
          <w:sz w:val="24"/>
        </w:rPr>
        <w:t> </w:t>
      </w:r>
      <w:r>
        <w:rPr>
          <w:sz w:val="24"/>
        </w:rPr>
        <w:t>la</w:t>
      </w:r>
      <w:r>
        <w:rPr>
          <w:spacing w:val="77"/>
          <w:sz w:val="24"/>
        </w:rPr>
        <w:t> </w:t>
      </w:r>
      <w:r>
        <w:rPr>
          <w:sz w:val="24"/>
        </w:rPr>
        <w:t>Secretaría</w:t>
      </w:r>
      <w:r>
        <w:rPr>
          <w:spacing w:val="78"/>
          <w:sz w:val="24"/>
        </w:rPr>
        <w:t> </w:t>
      </w:r>
      <w:r>
        <w:rPr>
          <w:sz w:val="24"/>
        </w:rPr>
        <w:t>General</w:t>
      </w:r>
      <w:r>
        <w:rPr>
          <w:spacing w:val="77"/>
          <w:sz w:val="24"/>
        </w:rPr>
        <w:t> </w:t>
      </w:r>
      <w:r>
        <w:rPr>
          <w:sz w:val="24"/>
        </w:rPr>
        <w:t>de Acuerdos, presentando:</w:t>
      </w:r>
    </w:p>
    <w:p>
      <w:pPr>
        <w:pStyle w:val="ListParagraph"/>
        <w:numPr>
          <w:ilvl w:val="1"/>
          <w:numId w:val="2"/>
        </w:numPr>
        <w:tabs>
          <w:tab w:pos="1417" w:val="left" w:leader="none"/>
        </w:tabs>
        <w:spacing w:line="240" w:lineRule="auto" w:before="242" w:after="0"/>
        <w:ind w:left="1417" w:right="0" w:hanging="849"/>
        <w:jc w:val="left"/>
        <w:rPr>
          <w:sz w:val="24"/>
        </w:rPr>
      </w:pPr>
      <w:r>
        <w:rPr>
          <w:sz w:val="24"/>
        </w:rPr>
        <w:t>En caso</w:t>
      </w:r>
      <w:r>
        <w:rPr>
          <w:spacing w:val="-3"/>
          <w:sz w:val="24"/>
        </w:rPr>
        <w:t> </w:t>
      </w:r>
      <w:r>
        <w:rPr>
          <w:sz w:val="24"/>
        </w:rPr>
        <w:t>de</w:t>
      </w:r>
      <w:r>
        <w:rPr>
          <w:spacing w:val="-1"/>
          <w:sz w:val="24"/>
        </w:rPr>
        <w:t> </w:t>
      </w:r>
      <w:r>
        <w:rPr>
          <w:sz w:val="24"/>
        </w:rPr>
        <w:t>ser</w:t>
      </w:r>
      <w:r>
        <w:rPr>
          <w:spacing w:val="-2"/>
          <w:sz w:val="24"/>
        </w:rPr>
        <w:t> particular:</w:t>
      </w:r>
    </w:p>
    <w:p>
      <w:pPr>
        <w:pStyle w:val="ListParagraph"/>
        <w:numPr>
          <w:ilvl w:val="0"/>
          <w:numId w:val="3"/>
        </w:numPr>
        <w:tabs>
          <w:tab w:pos="1417" w:val="left" w:leader="none"/>
        </w:tabs>
        <w:spacing w:line="240" w:lineRule="auto" w:before="241" w:after="0"/>
        <w:ind w:left="854" w:right="143" w:firstLine="0"/>
        <w:jc w:val="left"/>
        <w:rPr>
          <w:sz w:val="24"/>
        </w:rPr>
      </w:pPr>
      <w:r>
        <w:rPr>
          <w:sz w:val="24"/>
        </w:rPr>
        <w:t>Original y copia simple de alguna de las siguientes identificaciones oficiales: Credencial para votar, cédula profesional o pasaporte.</w:t>
      </w:r>
    </w:p>
    <w:p>
      <w:pPr>
        <w:pStyle w:val="ListParagraph"/>
        <w:numPr>
          <w:ilvl w:val="0"/>
          <w:numId w:val="3"/>
        </w:numPr>
        <w:tabs>
          <w:tab w:pos="1417" w:val="left" w:leader="none"/>
        </w:tabs>
        <w:spacing w:line="240" w:lineRule="auto" w:before="240" w:after="0"/>
        <w:ind w:left="1417" w:right="0" w:hanging="563"/>
        <w:jc w:val="left"/>
        <w:rPr>
          <w:sz w:val="24"/>
        </w:rPr>
      </w:pPr>
      <w:r>
        <w:rPr>
          <w:sz w:val="24"/>
        </w:rPr>
        <w:t>Original</w:t>
      </w:r>
      <w:r>
        <w:rPr>
          <w:spacing w:val="-2"/>
          <w:sz w:val="24"/>
        </w:rPr>
        <w:t> </w:t>
      </w:r>
      <w:r>
        <w:rPr>
          <w:sz w:val="24"/>
        </w:rPr>
        <w:t>y</w:t>
      </w:r>
      <w:r>
        <w:rPr>
          <w:spacing w:val="-2"/>
          <w:sz w:val="24"/>
        </w:rPr>
        <w:t> </w:t>
      </w:r>
      <w:r>
        <w:rPr>
          <w:sz w:val="24"/>
        </w:rPr>
        <w:t>copia</w:t>
      </w:r>
      <w:r>
        <w:rPr>
          <w:spacing w:val="-3"/>
          <w:sz w:val="24"/>
        </w:rPr>
        <w:t> </w:t>
      </w:r>
      <w:r>
        <w:rPr>
          <w:sz w:val="24"/>
        </w:rPr>
        <w:t>simple</w:t>
      </w:r>
      <w:r>
        <w:rPr>
          <w:spacing w:val="-3"/>
          <w:sz w:val="24"/>
        </w:rPr>
        <w:t> </w:t>
      </w:r>
      <w:r>
        <w:rPr>
          <w:sz w:val="24"/>
        </w:rPr>
        <w:t>de</w:t>
      </w:r>
      <w:r>
        <w:rPr>
          <w:spacing w:val="-2"/>
          <w:sz w:val="24"/>
        </w:rPr>
        <w:t> </w:t>
      </w:r>
      <w:r>
        <w:rPr>
          <w:sz w:val="24"/>
        </w:rPr>
        <w:t>comprobante</w:t>
      </w:r>
      <w:r>
        <w:rPr>
          <w:spacing w:val="-4"/>
          <w:sz w:val="24"/>
        </w:rPr>
        <w:t> </w:t>
      </w:r>
      <w:r>
        <w:rPr>
          <w:sz w:val="24"/>
        </w:rPr>
        <w:t>de</w:t>
      </w:r>
      <w:r>
        <w:rPr>
          <w:spacing w:val="-4"/>
          <w:sz w:val="24"/>
        </w:rPr>
        <w:t> </w:t>
      </w:r>
      <w:r>
        <w:rPr>
          <w:spacing w:val="-2"/>
          <w:sz w:val="24"/>
        </w:rPr>
        <w:t>domicilio.</w:t>
      </w:r>
    </w:p>
    <w:p>
      <w:pPr>
        <w:pStyle w:val="ListParagraph"/>
        <w:numPr>
          <w:ilvl w:val="0"/>
          <w:numId w:val="3"/>
        </w:numPr>
        <w:tabs>
          <w:tab w:pos="1417" w:val="left" w:leader="none"/>
        </w:tabs>
        <w:spacing w:line="240" w:lineRule="auto" w:before="239" w:after="0"/>
        <w:ind w:left="1417" w:right="0" w:hanging="563"/>
        <w:jc w:val="left"/>
        <w:rPr>
          <w:sz w:val="24"/>
        </w:rPr>
      </w:pPr>
      <w:r>
        <w:rPr>
          <w:sz w:val="24"/>
        </w:rPr>
        <w:t>Una</w:t>
      </w:r>
      <w:r>
        <w:rPr>
          <w:spacing w:val="-1"/>
          <w:sz w:val="24"/>
        </w:rPr>
        <w:t> </w:t>
      </w:r>
      <w:r>
        <w:rPr>
          <w:sz w:val="24"/>
        </w:rPr>
        <w:t>cuenta</w:t>
      </w:r>
      <w:r>
        <w:rPr>
          <w:spacing w:val="-4"/>
          <w:sz w:val="24"/>
        </w:rPr>
        <w:t> </w:t>
      </w:r>
      <w:r>
        <w:rPr>
          <w:sz w:val="24"/>
        </w:rPr>
        <w:t>de</w:t>
      </w:r>
      <w:r>
        <w:rPr>
          <w:spacing w:val="-4"/>
          <w:sz w:val="24"/>
        </w:rPr>
        <w:t> </w:t>
      </w:r>
      <w:r>
        <w:rPr>
          <w:sz w:val="24"/>
        </w:rPr>
        <w:t>correo</w:t>
      </w:r>
      <w:r>
        <w:rPr>
          <w:spacing w:val="-3"/>
          <w:sz w:val="24"/>
        </w:rPr>
        <w:t> </w:t>
      </w:r>
      <w:r>
        <w:rPr>
          <w:sz w:val="24"/>
        </w:rPr>
        <w:t>electrónico</w:t>
      </w:r>
      <w:r>
        <w:rPr>
          <w:spacing w:val="-4"/>
          <w:sz w:val="24"/>
        </w:rPr>
        <w:t> </w:t>
      </w:r>
      <w:r>
        <w:rPr>
          <w:sz w:val="24"/>
        </w:rPr>
        <w:t>personal</w:t>
      </w:r>
      <w:r>
        <w:rPr>
          <w:spacing w:val="-4"/>
          <w:sz w:val="24"/>
        </w:rPr>
        <w:t> </w:t>
      </w:r>
      <w:r>
        <w:rPr>
          <w:sz w:val="24"/>
        </w:rPr>
        <w:t>y</w:t>
      </w:r>
      <w:r>
        <w:rPr>
          <w:spacing w:val="5"/>
          <w:sz w:val="24"/>
        </w:rPr>
        <w:t> </w:t>
      </w:r>
      <w:r>
        <w:rPr>
          <w:spacing w:val="-2"/>
          <w:sz w:val="24"/>
        </w:rPr>
        <w:t>válida.</w:t>
      </w:r>
    </w:p>
    <w:p>
      <w:pPr>
        <w:pStyle w:val="ListParagraph"/>
        <w:numPr>
          <w:ilvl w:val="1"/>
          <w:numId w:val="2"/>
        </w:numPr>
        <w:tabs>
          <w:tab w:pos="1417" w:val="left" w:leader="none"/>
        </w:tabs>
        <w:spacing w:line="240" w:lineRule="auto" w:before="240" w:after="0"/>
        <w:ind w:left="1417" w:right="0" w:hanging="849"/>
        <w:jc w:val="left"/>
        <w:rPr>
          <w:sz w:val="24"/>
        </w:rPr>
      </w:pPr>
      <w:r>
        <w:rPr>
          <w:sz w:val="24"/>
        </w:rPr>
        <w:t>En</w:t>
      </w:r>
      <w:r>
        <w:rPr>
          <w:spacing w:val="-1"/>
          <w:sz w:val="24"/>
        </w:rPr>
        <w:t> </w:t>
      </w:r>
      <w:r>
        <w:rPr>
          <w:sz w:val="24"/>
        </w:rPr>
        <w:t>caso</w:t>
      </w:r>
      <w:r>
        <w:rPr>
          <w:spacing w:val="-3"/>
          <w:sz w:val="24"/>
        </w:rPr>
        <w:t> </w:t>
      </w:r>
      <w:r>
        <w:rPr>
          <w:sz w:val="24"/>
        </w:rPr>
        <w:t>de</w:t>
      </w:r>
      <w:r>
        <w:rPr>
          <w:spacing w:val="-2"/>
          <w:sz w:val="24"/>
        </w:rPr>
        <w:t> </w:t>
      </w:r>
      <w:r>
        <w:rPr>
          <w:sz w:val="24"/>
        </w:rPr>
        <w:t>ser</w:t>
      </w:r>
      <w:r>
        <w:rPr>
          <w:spacing w:val="-3"/>
          <w:sz w:val="24"/>
        </w:rPr>
        <w:t> </w:t>
      </w:r>
      <w:r>
        <w:rPr>
          <w:sz w:val="24"/>
        </w:rPr>
        <w:t>persona</w:t>
      </w:r>
      <w:r>
        <w:rPr>
          <w:spacing w:val="-1"/>
          <w:sz w:val="24"/>
        </w:rPr>
        <w:t> </w:t>
      </w:r>
      <w:r>
        <w:rPr>
          <w:spacing w:val="-2"/>
          <w:sz w:val="24"/>
        </w:rPr>
        <w:t>moral:</w:t>
      </w:r>
    </w:p>
    <w:p>
      <w:pPr>
        <w:pStyle w:val="ListParagraph"/>
        <w:spacing w:after="0" w:line="240" w:lineRule="auto"/>
        <w:jc w:val="left"/>
        <w:rPr>
          <w:sz w:val="24"/>
        </w:rPr>
        <w:sectPr>
          <w:pgSz w:w="12250" w:h="15850"/>
          <w:pgMar w:top="1380" w:bottom="280" w:left="1700" w:right="1559"/>
        </w:sectPr>
      </w:pPr>
    </w:p>
    <w:p>
      <w:pPr>
        <w:pStyle w:val="ListParagraph"/>
        <w:numPr>
          <w:ilvl w:val="0"/>
          <w:numId w:val="4"/>
        </w:numPr>
        <w:tabs>
          <w:tab w:pos="1417" w:val="left" w:leader="none"/>
        </w:tabs>
        <w:spacing w:line="240" w:lineRule="auto" w:before="76" w:after="0"/>
        <w:ind w:left="854" w:right="138" w:firstLine="0"/>
        <w:jc w:val="both"/>
        <w:rPr>
          <w:sz w:val="24"/>
        </w:rPr>
      </w:pPr>
      <w:r>
        <w:rPr>
          <w:sz w:val="24"/>
        </w:rPr>
        <w:t>Original o copia certificada del acta constitutiva y, en su caso, del instrumento público que acredite su personalidad, además de copia simple.</w:t>
      </w:r>
    </w:p>
    <w:p>
      <w:pPr>
        <w:pStyle w:val="ListParagraph"/>
        <w:numPr>
          <w:ilvl w:val="0"/>
          <w:numId w:val="4"/>
        </w:numPr>
        <w:tabs>
          <w:tab w:pos="1417" w:val="left" w:leader="none"/>
        </w:tabs>
        <w:spacing w:line="240" w:lineRule="auto" w:before="239" w:after="0"/>
        <w:ind w:left="854" w:right="141" w:firstLine="0"/>
        <w:jc w:val="both"/>
        <w:rPr>
          <w:sz w:val="24"/>
        </w:rPr>
      </w:pPr>
      <w:r>
        <w:rPr>
          <w:sz w:val="24"/>
        </w:rPr>
        <w:t>El representante legal de la persona moral, deberá presentar la documentación referida en el inciso a) de esta Base.</w:t>
      </w:r>
    </w:p>
    <w:p>
      <w:pPr>
        <w:pStyle w:val="BodyText"/>
      </w:pPr>
    </w:p>
    <w:p>
      <w:pPr>
        <w:pStyle w:val="BodyText"/>
        <w:spacing w:before="187"/>
      </w:pPr>
    </w:p>
    <w:p>
      <w:pPr>
        <w:pStyle w:val="ListParagraph"/>
        <w:numPr>
          <w:ilvl w:val="1"/>
          <w:numId w:val="2"/>
        </w:numPr>
        <w:tabs>
          <w:tab w:pos="1417" w:val="left" w:leader="none"/>
        </w:tabs>
        <w:spacing w:line="240" w:lineRule="auto" w:before="0" w:after="0"/>
        <w:ind w:left="1417" w:right="0" w:hanging="849"/>
        <w:jc w:val="left"/>
        <w:rPr>
          <w:sz w:val="24"/>
        </w:rPr>
      </w:pPr>
      <w:r>
        <w:rPr>
          <w:sz w:val="24"/>
        </w:rPr>
        <w:t>Las</w:t>
      </w:r>
      <w:r>
        <w:rPr>
          <w:spacing w:val="-2"/>
          <w:sz w:val="24"/>
        </w:rPr>
        <w:t> autoridades:</w:t>
      </w:r>
    </w:p>
    <w:p>
      <w:pPr>
        <w:pStyle w:val="BodyText"/>
      </w:pPr>
    </w:p>
    <w:p>
      <w:pPr>
        <w:pStyle w:val="BodyText"/>
        <w:spacing w:before="186"/>
      </w:pPr>
    </w:p>
    <w:p>
      <w:pPr>
        <w:pStyle w:val="ListParagraph"/>
        <w:numPr>
          <w:ilvl w:val="2"/>
          <w:numId w:val="2"/>
        </w:numPr>
        <w:tabs>
          <w:tab w:pos="1081" w:val="left" w:leader="none"/>
        </w:tabs>
        <w:spacing w:line="240" w:lineRule="auto" w:before="0" w:after="0"/>
        <w:ind w:left="2" w:right="139" w:firstLine="566"/>
        <w:jc w:val="left"/>
        <w:rPr>
          <w:sz w:val="24"/>
        </w:rPr>
      </w:pPr>
      <w:r>
        <w:rPr>
          <w:sz w:val="24"/>
        </w:rPr>
        <w:t>De</w:t>
      </w:r>
      <w:r>
        <w:rPr>
          <w:spacing w:val="80"/>
          <w:w w:val="150"/>
          <w:sz w:val="24"/>
        </w:rPr>
        <w:t> </w:t>
      </w:r>
      <w:r>
        <w:rPr>
          <w:sz w:val="24"/>
        </w:rPr>
        <w:t>comparecer</w:t>
      </w:r>
      <w:r>
        <w:rPr>
          <w:spacing w:val="80"/>
          <w:w w:val="150"/>
          <w:sz w:val="24"/>
        </w:rPr>
        <w:t> </w:t>
      </w:r>
      <w:r>
        <w:rPr>
          <w:sz w:val="24"/>
        </w:rPr>
        <w:t>en</w:t>
      </w:r>
      <w:r>
        <w:rPr>
          <w:spacing w:val="80"/>
          <w:w w:val="150"/>
          <w:sz w:val="24"/>
        </w:rPr>
        <w:t> </w:t>
      </w:r>
      <w:r>
        <w:rPr>
          <w:sz w:val="24"/>
        </w:rPr>
        <w:t>forma</w:t>
      </w:r>
      <w:r>
        <w:rPr>
          <w:spacing w:val="80"/>
          <w:w w:val="150"/>
          <w:sz w:val="24"/>
        </w:rPr>
        <w:t> </w:t>
      </w:r>
      <w:r>
        <w:rPr>
          <w:sz w:val="24"/>
        </w:rPr>
        <w:t>personal</w:t>
      </w:r>
      <w:r>
        <w:rPr>
          <w:spacing w:val="80"/>
          <w:w w:val="150"/>
          <w:sz w:val="24"/>
        </w:rPr>
        <w:t> </w:t>
      </w:r>
      <w:r>
        <w:rPr>
          <w:sz w:val="24"/>
        </w:rPr>
        <w:t>y</w:t>
      </w:r>
      <w:r>
        <w:rPr>
          <w:spacing w:val="80"/>
          <w:w w:val="150"/>
          <w:sz w:val="24"/>
        </w:rPr>
        <w:t> </w:t>
      </w:r>
      <w:r>
        <w:rPr>
          <w:sz w:val="24"/>
        </w:rPr>
        <w:t>directa</w:t>
      </w:r>
      <w:r>
        <w:rPr>
          <w:spacing w:val="80"/>
          <w:w w:val="150"/>
          <w:sz w:val="24"/>
        </w:rPr>
        <w:t> </w:t>
      </w:r>
      <w:r>
        <w:rPr>
          <w:sz w:val="24"/>
        </w:rPr>
        <w:t>o</w:t>
      </w:r>
      <w:r>
        <w:rPr>
          <w:spacing w:val="80"/>
          <w:w w:val="150"/>
          <w:sz w:val="24"/>
        </w:rPr>
        <w:t> </w:t>
      </w:r>
      <w:r>
        <w:rPr>
          <w:sz w:val="24"/>
        </w:rPr>
        <w:t>por</w:t>
      </w:r>
      <w:r>
        <w:rPr>
          <w:spacing w:val="80"/>
          <w:w w:val="150"/>
          <w:sz w:val="24"/>
        </w:rPr>
        <w:t> </w:t>
      </w:r>
      <w:r>
        <w:rPr>
          <w:sz w:val="24"/>
        </w:rPr>
        <w:t>conducto</w:t>
      </w:r>
      <w:r>
        <w:rPr>
          <w:spacing w:val="80"/>
          <w:w w:val="150"/>
          <w:sz w:val="24"/>
        </w:rPr>
        <w:t> </w:t>
      </w:r>
      <w:r>
        <w:rPr>
          <w:sz w:val="24"/>
        </w:rPr>
        <w:t>de</w:t>
      </w:r>
      <w:r>
        <w:rPr>
          <w:spacing w:val="80"/>
          <w:w w:val="150"/>
          <w:sz w:val="24"/>
        </w:rPr>
        <w:t> </w:t>
      </w:r>
      <w:r>
        <w:rPr>
          <w:sz w:val="24"/>
        </w:rPr>
        <w:t>sus representantes legales:</w:t>
      </w:r>
    </w:p>
    <w:p>
      <w:pPr>
        <w:pStyle w:val="ListParagraph"/>
        <w:numPr>
          <w:ilvl w:val="3"/>
          <w:numId w:val="2"/>
        </w:numPr>
        <w:tabs>
          <w:tab w:pos="1417" w:val="left" w:leader="none"/>
        </w:tabs>
        <w:spacing w:line="242" w:lineRule="auto" w:before="241" w:after="0"/>
        <w:ind w:left="854" w:right="138" w:firstLine="0"/>
        <w:jc w:val="both"/>
        <w:rPr>
          <w:rFonts w:ascii="Symbol" w:hAnsi="Symbol"/>
          <w:sz w:val="22"/>
        </w:rPr>
      </w:pPr>
      <w:r>
        <w:rPr>
          <w:sz w:val="24"/>
        </w:rPr>
        <w:t>Original o copia certificada del nombramiento o de la constancia de mayoría, en el caso de autoridades electas, así como una copia para su cotejo.</w:t>
      </w:r>
    </w:p>
    <w:p>
      <w:pPr>
        <w:pStyle w:val="ListParagraph"/>
        <w:numPr>
          <w:ilvl w:val="3"/>
          <w:numId w:val="2"/>
        </w:numPr>
        <w:tabs>
          <w:tab w:pos="1417" w:val="left" w:leader="none"/>
        </w:tabs>
        <w:spacing w:line="240" w:lineRule="auto" w:before="236" w:after="0"/>
        <w:ind w:left="854" w:right="146" w:firstLine="0"/>
        <w:jc w:val="both"/>
        <w:rPr>
          <w:rFonts w:ascii="Symbol" w:hAnsi="Symbol"/>
          <w:sz w:val="22"/>
        </w:rPr>
      </w:pPr>
      <w:r>
        <w:rPr>
          <w:sz w:val="24"/>
        </w:rPr>
        <w:t>Original y copia simple de alguna de las siguientes identificaciones oficiales: Credencial para votar, cédula profesional o pasaporte.</w:t>
      </w:r>
    </w:p>
    <w:p>
      <w:pPr>
        <w:pStyle w:val="ListParagraph"/>
        <w:numPr>
          <w:ilvl w:val="3"/>
          <w:numId w:val="2"/>
        </w:numPr>
        <w:tabs>
          <w:tab w:pos="1417" w:val="left" w:leader="none"/>
        </w:tabs>
        <w:spacing w:line="240" w:lineRule="auto" w:before="240" w:after="0"/>
        <w:ind w:left="1417" w:right="0" w:hanging="563"/>
        <w:jc w:val="both"/>
        <w:rPr>
          <w:rFonts w:ascii="Symbol" w:hAnsi="Symbol"/>
          <w:sz w:val="22"/>
        </w:rPr>
      </w:pPr>
      <w:r>
        <w:rPr>
          <w:sz w:val="24"/>
        </w:rPr>
        <w:t>Una</w:t>
      </w:r>
      <w:r>
        <w:rPr>
          <w:spacing w:val="-1"/>
          <w:sz w:val="24"/>
        </w:rPr>
        <w:t> </w:t>
      </w:r>
      <w:r>
        <w:rPr>
          <w:sz w:val="24"/>
        </w:rPr>
        <w:t>cuenta</w:t>
      </w:r>
      <w:r>
        <w:rPr>
          <w:spacing w:val="-3"/>
          <w:sz w:val="24"/>
        </w:rPr>
        <w:t> </w:t>
      </w:r>
      <w:r>
        <w:rPr>
          <w:sz w:val="24"/>
        </w:rPr>
        <w:t>de</w:t>
      </w:r>
      <w:r>
        <w:rPr>
          <w:spacing w:val="-3"/>
          <w:sz w:val="24"/>
        </w:rPr>
        <w:t> </w:t>
      </w:r>
      <w:r>
        <w:rPr>
          <w:sz w:val="24"/>
        </w:rPr>
        <w:t>correo</w:t>
      </w:r>
      <w:r>
        <w:rPr>
          <w:spacing w:val="-3"/>
          <w:sz w:val="24"/>
        </w:rPr>
        <w:t> </w:t>
      </w:r>
      <w:r>
        <w:rPr>
          <w:sz w:val="24"/>
        </w:rPr>
        <w:t>electrónico</w:t>
      </w:r>
      <w:r>
        <w:rPr>
          <w:spacing w:val="-3"/>
          <w:sz w:val="24"/>
        </w:rPr>
        <w:t> </w:t>
      </w:r>
      <w:r>
        <w:rPr>
          <w:sz w:val="24"/>
        </w:rPr>
        <w:t>personal</w:t>
      </w:r>
      <w:r>
        <w:rPr>
          <w:spacing w:val="-3"/>
          <w:sz w:val="24"/>
        </w:rPr>
        <w:t> </w:t>
      </w:r>
      <w:r>
        <w:rPr>
          <w:sz w:val="24"/>
        </w:rPr>
        <w:t>y</w:t>
      </w:r>
      <w:r>
        <w:rPr>
          <w:spacing w:val="-1"/>
          <w:sz w:val="24"/>
        </w:rPr>
        <w:t> </w:t>
      </w:r>
      <w:r>
        <w:rPr>
          <w:spacing w:val="-2"/>
          <w:sz w:val="24"/>
        </w:rPr>
        <w:t>válida.</w:t>
      </w:r>
    </w:p>
    <w:p>
      <w:pPr>
        <w:pStyle w:val="BodyText"/>
      </w:pPr>
    </w:p>
    <w:p>
      <w:pPr>
        <w:pStyle w:val="BodyText"/>
        <w:spacing w:before="186"/>
      </w:pPr>
    </w:p>
    <w:p>
      <w:pPr>
        <w:pStyle w:val="ListParagraph"/>
        <w:numPr>
          <w:ilvl w:val="2"/>
          <w:numId w:val="2"/>
        </w:numPr>
        <w:tabs>
          <w:tab w:pos="963" w:val="left" w:leader="none"/>
        </w:tabs>
        <w:spacing w:line="240" w:lineRule="auto" w:before="1" w:after="0"/>
        <w:ind w:left="963" w:right="0" w:hanging="395"/>
        <w:jc w:val="left"/>
        <w:rPr>
          <w:sz w:val="24"/>
        </w:rPr>
      </w:pPr>
      <w:r>
        <w:rPr>
          <w:sz w:val="24"/>
        </w:rPr>
        <w:t>Y</w:t>
      </w:r>
      <w:r>
        <w:rPr>
          <w:spacing w:val="-3"/>
          <w:sz w:val="24"/>
        </w:rPr>
        <w:t> </w:t>
      </w:r>
      <w:r>
        <w:rPr>
          <w:sz w:val="24"/>
        </w:rPr>
        <w:t>en</w:t>
      </w:r>
      <w:r>
        <w:rPr>
          <w:spacing w:val="-3"/>
          <w:sz w:val="24"/>
        </w:rPr>
        <w:t> </w:t>
      </w:r>
      <w:r>
        <w:rPr>
          <w:sz w:val="24"/>
        </w:rPr>
        <w:t>el supuesto</w:t>
      </w:r>
      <w:r>
        <w:rPr>
          <w:spacing w:val="-4"/>
          <w:sz w:val="24"/>
        </w:rPr>
        <w:t> </w:t>
      </w:r>
      <w:r>
        <w:rPr>
          <w:sz w:val="24"/>
        </w:rPr>
        <w:t>de comparecer</w:t>
      </w:r>
      <w:r>
        <w:rPr>
          <w:spacing w:val="-3"/>
          <w:sz w:val="24"/>
        </w:rPr>
        <w:t> </w:t>
      </w:r>
      <w:r>
        <w:rPr>
          <w:sz w:val="24"/>
        </w:rPr>
        <w:t>a</w:t>
      </w:r>
      <w:r>
        <w:rPr>
          <w:spacing w:val="-4"/>
          <w:sz w:val="24"/>
        </w:rPr>
        <w:t> </w:t>
      </w:r>
      <w:r>
        <w:rPr>
          <w:sz w:val="24"/>
        </w:rPr>
        <w:t>través</w:t>
      </w:r>
      <w:r>
        <w:rPr>
          <w:spacing w:val="-3"/>
          <w:sz w:val="24"/>
        </w:rPr>
        <w:t> </w:t>
      </w:r>
      <w:r>
        <w:rPr>
          <w:sz w:val="24"/>
        </w:rPr>
        <w:t>de</w:t>
      </w:r>
      <w:r>
        <w:rPr>
          <w:spacing w:val="-3"/>
          <w:sz w:val="24"/>
        </w:rPr>
        <w:t> </w:t>
      </w:r>
      <w:r>
        <w:rPr>
          <w:sz w:val="24"/>
        </w:rPr>
        <w:t>un</w:t>
      </w:r>
      <w:r>
        <w:rPr>
          <w:spacing w:val="5"/>
          <w:sz w:val="24"/>
        </w:rPr>
        <w:t> </w:t>
      </w:r>
      <w:r>
        <w:rPr>
          <w:spacing w:val="-2"/>
          <w:sz w:val="24"/>
        </w:rPr>
        <w:t>autorizado:</w:t>
      </w:r>
    </w:p>
    <w:p>
      <w:pPr>
        <w:pStyle w:val="ListParagraph"/>
        <w:numPr>
          <w:ilvl w:val="3"/>
          <w:numId w:val="2"/>
        </w:numPr>
        <w:tabs>
          <w:tab w:pos="1417" w:val="left" w:leader="none"/>
        </w:tabs>
        <w:spacing w:line="240" w:lineRule="auto" w:before="239" w:after="0"/>
        <w:ind w:left="854" w:right="142" w:firstLine="0"/>
        <w:jc w:val="both"/>
        <w:rPr>
          <w:rFonts w:ascii="Symbol" w:hAnsi="Symbol"/>
          <w:sz w:val="24"/>
        </w:rPr>
      </w:pPr>
      <w:r>
        <w:rPr>
          <w:sz w:val="24"/>
        </w:rPr>
        <w:t>Documento oficial donde conste la autorización específica de la autoridad que represente para obtener la dirección de correo electrónico otorgada por el Tribunal de lo Contencioso Administrativo.</w:t>
      </w:r>
    </w:p>
    <w:p>
      <w:pPr>
        <w:pStyle w:val="ListParagraph"/>
        <w:numPr>
          <w:ilvl w:val="3"/>
          <w:numId w:val="2"/>
        </w:numPr>
        <w:tabs>
          <w:tab w:pos="1417" w:val="left" w:leader="none"/>
        </w:tabs>
        <w:spacing w:line="242" w:lineRule="auto" w:before="238" w:after="0"/>
        <w:ind w:left="854" w:right="140" w:firstLine="0"/>
        <w:jc w:val="both"/>
        <w:rPr>
          <w:rFonts w:ascii="Symbol" w:hAnsi="Symbol"/>
          <w:sz w:val="24"/>
        </w:rPr>
      </w:pPr>
      <w:r>
        <w:rPr>
          <w:sz w:val="24"/>
        </w:rPr>
        <w:t>Original o copia certificada del nombramiento, o de la constancia de mayoría, en el caso de autoridades electas, así como una copia para su cotejo.</w:t>
      </w:r>
    </w:p>
    <w:p>
      <w:pPr>
        <w:pStyle w:val="ListParagraph"/>
        <w:numPr>
          <w:ilvl w:val="3"/>
          <w:numId w:val="2"/>
        </w:numPr>
        <w:tabs>
          <w:tab w:pos="1417" w:val="left" w:leader="none"/>
        </w:tabs>
        <w:spacing w:line="240" w:lineRule="auto" w:before="236" w:after="0"/>
        <w:ind w:left="854" w:right="135" w:firstLine="0"/>
        <w:jc w:val="both"/>
        <w:rPr>
          <w:rFonts w:ascii="Symbol" w:hAnsi="Symbol"/>
          <w:sz w:val="24"/>
        </w:rPr>
      </w:pPr>
      <w:r>
        <w:rPr>
          <w:sz w:val="24"/>
        </w:rPr>
        <w:t>Original y copia simple de alguna de las siguientes identificaciones oficiales del autorizado: Credencial para votar, cédula profesional o pasaporte y comprobante de domicilio del autorizado.</w:t>
      </w:r>
    </w:p>
    <w:p>
      <w:pPr>
        <w:pStyle w:val="ListParagraph"/>
        <w:numPr>
          <w:ilvl w:val="3"/>
          <w:numId w:val="2"/>
        </w:numPr>
        <w:tabs>
          <w:tab w:pos="1417" w:val="left" w:leader="none"/>
        </w:tabs>
        <w:spacing w:line="240" w:lineRule="auto" w:before="239" w:after="0"/>
        <w:ind w:left="1417" w:right="0" w:hanging="563"/>
        <w:jc w:val="both"/>
        <w:rPr>
          <w:rFonts w:ascii="Symbol" w:hAnsi="Symbol"/>
          <w:sz w:val="24"/>
        </w:rPr>
      </w:pPr>
      <w:r>
        <w:rPr>
          <w:sz w:val="24"/>
        </w:rPr>
        <w:t>Una</w:t>
      </w:r>
      <w:r>
        <w:rPr>
          <w:spacing w:val="-3"/>
          <w:sz w:val="24"/>
        </w:rPr>
        <w:t> </w:t>
      </w:r>
      <w:r>
        <w:rPr>
          <w:sz w:val="24"/>
        </w:rPr>
        <w:t>cuenta</w:t>
      </w:r>
      <w:r>
        <w:rPr>
          <w:spacing w:val="-4"/>
          <w:sz w:val="24"/>
        </w:rPr>
        <w:t> </w:t>
      </w:r>
      <w:r>
        <w:rPr>
          <w:sz w:val="24"/>
        </w:rPr>
        <w:t>de</w:t>
      </w:r>
      <w:r>
        <w:rPr>
          <w:spacing w:val="-4"/>
          <w:sz w:val="24"/>
        </w:rPr>
        <w:t> </w:t>
      </w:r>
      <w:r>
        <w:rPr>
          <w:sz w:val="24"/>
        </w:rPr>
        <w:t>correo</w:t>
      </w:r>
      <w:r>
        <w:rPr>
          <w:spacing w:val="-4"/>
          <w:sz w:val="24"/>
        </w:rPr>
        <w:t> </w:t>
      </w:r>
      <w:r>
        <w:rPr>
          <w:sz w:val="24"/>
        </w:rPr>
        <w:t>electrónico</w:t>
      </w:r>
      <w:r>
        <w:rPr>
          <w:spacing w:val="-4"/>
          <w:sz w:val="24"/>
        </w:rPr>
        <w:t> </w:t>
      </w:r>
      <w:r>
        <w:rPr>
          <w:sz w:val="24"/>
        </w:rPr>
        <w:t>personal</w:t>
      </w:r>
      <w:r>
        <w:rPr>
          <w:spacing w:val="-4"/>
          <w:sz w:val="24"/>
        </w:rPr>
        <w:t> </w:t>
      </w:r>
      <w:r>
        <w:rPr>
          <w:sz w:val="24"/>
        </w:rPr>
        <w:t>y</w:t>
      </w:r>
      <w:r>
        <w:rPr>
          <w:spacing w:val="4"/>
          <w:sz w:val="24"/>
        </w:rPr>
        <w:t> </w:t>
      </w:r>
      <w:r>
        <w:rPr>
          <w:sz w:val="24"/>
        </w:rPr>
        <w:t>válida</w:t>
      </w:r>
      <w:r>
        <w:rPr>
          <w:spacing w:val="-2"/>
          <w:sz w:val="24"/>
        </w:rPr>
        <w:t> </w:t>
      </w:r>
      <w:r>
        <w:rPr>
          <w:sz w:val="24"/>
        </w:rPr>
        <w:t>del </w:t>
      </w:r>
      <w:r>
        <w:rPr>
          <w:spacing w:val="-2"/>
          <w:sz w:val="24"/>
        </w:rPr>
        <w:t>autorizado.</w:t>
      </w:r>
    </w:p>
    <w:p>
      <w:pPr>
        <w:pStyle w:val="BodyText"/>
      </w:pPr>
    </w:p>
    <w:p>
      <w:pPr>
        <w:pStyle w:val="BodyText"/>
        <w:spacing w:before="189"/>
      </w:pPr>
    </w:p>
    <w:p>
      <w:pPr>
        <w:pStyle w:val="ListParagraph"/>
        <w:numPr>
          <w:ilvl w:val="0"/>
          <w:numId w:val="2"/>
        </w:numPr>
        <w:tabs>
          <w:tab w:pos="709" w:val="left" w:leader="none"/>
        </w:tabs>
        <w:spacing w:line="240" w:lineRule="auto" w:before="0" w:after="0"/>
        <w:ind w:left="2" w:right="146" w:firstLine="0"/>
        <w:jc w:val="left"/>
        <w:rPr>
          <w:sz w:val="24"/>
        </w:rPr>
      </w:pPr>
      <w:r>
        <w:rPr>
          <w:sz w:val="24"/>
        </w:rPr>
        <w:t>El</w:t>
      </w:r>
      <w:r>
        <w:rPr>
          <w:spacing w:val="40"/>
          <w:sz w:val="24"/>
        </w:rPr>
        <w:t> </w:t>
      </w:r>
      <w:r>
        <w:rPr>
          <w:sz w:val="24"/>
        </w:rPr>
        <w:t>interesado</w:t>
      </w:r>
      <w:r>
        <w:rPr>
          <w:spacing w:val="40"/>
          <w:sz w:val="24"/>
        </w:rPr>
        <w:t> </w:t>
      </w:r>
      <w:r>
        <w:rPr>
          <w:sz w:val="24"/>
        </w:rPr>
        <w:t>llenará</w:t>
      </w:r>
      <w:r>
        <w:rPr>
          <w:spacing w:val="40"/>
          <w:sz w:val="24"/>
        </w:rPr>
        <w:t> </w:t>
      </w:r>
      <w:r>
        <w:rPr>
          <w:sz w:val="24"/>
        </w:rPr>
        <w:t>y</w:t>
      </w:r>
      <w:r>
        <w:rPr>
          <w:spacing w:val="40"/>
          <w:sz w:val="24"/>
        </w:rPr>
        <w:t> </w:t>
      </w:r>
      <w:r>
        <w:rPr>
          <w:sz w:val="24"/>
        </w:rPr>
        <w:t>firmará</w:t>
      </w:r>
      <w:r>
        <w:rPr>
          <w:spacing w:val="40"/>
          <w:sz w:val="24"/>
        </w:rPr>
        <w:t> </w:t>
      </w:r>
      <w:r>
        <w:rPr>
          <w:sz w:val="24"/>
        </w:rPr>
        <w:t>la</w:t>
      </w:r>
      <w:r>
        <w:rPr>
          <w:spacing w:val="40"/>
          <w:sz w:val="24"/>
        </w:rPr>
        <w:t> </w:t>
      </w:r>
      <w:r>
        <w:rPr>
          <w:sz w:val="24"/>
        </w:rPr>
        <w:t>solicitud</w:t>
      </w:r>
      <w:r>
        <w:rPr>
          <w:spacing w:val="40"/>
          <w:sz w:val="24"/>
        </w:rPr>
        <w:t> </w:t>
      </w:r>
      <w:r>
        <w:rPr>
          <w:sz w:val="24"/>
        </w:rPr>
        <w:t>única</w:t>
      </w:r>
      <w:r>
        <w:rPr>
          <w:spacing w:val="40"/>
          <w:sz w:val="24"/>
        </w:rPr>
        <w:t> </w:t>
      </w:r>
      <w:r>
        <w:rPr>
          <w:sz w:val="24"/>
        </w:rPr>
        <w:t>de</w:t>
      </w:r>
      <w:r>
        <w:rPr>
          <w:spacing w:val="40"/>
          <w:sz w:val="24"/>
        </w:rPr>
        <w:t> </w:t>
      </w:r>
      <w:r>
        <w:rPr>
          <w:sz w:val="24"/>
        </w:rPr>
        <w:t>acceso</w:t>
      </w:r>
      <w:r>
        <w:rPr>
          <w:spacing w:val="40"/>
          <w:sz w:val="24"/>
        </w:rPr>
        <w:t> </w:t>
      </w:r>
      <w:r>
        <w:rPr>
          <w:sz w:val="24"/>
        </w:rPr>
        <w:t>a</w:t>
      </w:r>
      <w:r>
        <w:rPr>
          <w:spacing w:val="40"/>
          <w:sz w:val="24"/>
        </w:rPr>
        <w:t> </w:t>
      </w:r>
      <w:r>
        <w:rPr>
          <w:sz w:val="24"/>
        </w:rPr>
        <w:t>los</w:t>
      </w:r>
      <w:r>
        <w:rPr>
          <w:spacing w:val="40"/>
          <w:sz w:val="24"/>
        </w:rPr>
        <w:t> </w:t>
      </w:r>
      <w:r>
        <w:rPr>
          <w:sz w:val="24"/>
        </w:rPr>
        <w:t>servicios</w:t>
      </w:r>
      <w:r>
        <w:rPr>
          <w:spacing w:val="40"/>
          <w:sz w:val="24"/>
        </w:rPr>
        <w:t> </w:t>
      </w:r>
      <w:r>
        <w:rPr>
          <w:sz w:val="24"/>
        </w:rPr>
        <w:t>del Sistema Informático que le será proporcionada para tal efecto.</w:t>
      </w:r>
    </w:p>
    <w:p>
      <w:pPr>
        <w:pStyle w:val="ListParagraph"/>
        <w:spacing w:after="0" w:line="240" w:lineRule="auto"/>
        <w:jc w:val="left"/>
        <w:rPr>
          <w:sz w:val="24"/>
        </w:rPr>
        <w:sectPr>
          <w:pgSz w:w="12250" w:h="15850"/>
          <w:pgMar w:top="1340" w:bottom="280" w:left="1700" w:right="1559"/>
        </w:sectPr>
      </w:pPr>
    </w:p>
    <w:p>
      <w:pPr>
        <w:pStyle w:val="ListParagraph"/>
        <w:numPr>
          <w:ilvl w:val="0"/>
          <w:numId w:val="2"/>
        </w:numPr>
        <w:tabs>
          <w:tab w:pos="707" w:val="left" w:leader="none"/>
        </w:tabs>
        <w:spacing w:line="240" w:lineRule="auto" w:before="36" w:after="0"/>
        <w:ind w:left="2" w:right="137" w:firstLine="0"/>
        <w:jc w:val="both"/>
        <w:rPr>
          <w:sz w:val="24"/>
        </w:rPr>
      </w:pPr>
      <w:r>
        <w:rPr>
          <w:sz w:val="24"/>
        </w:rPr>
        <w:t>El personal de la Secretaría validará la información, capturará en el Sistema Informático del</w:t>
      </w:r>
      <w:r>
        <w:rPr>
          <w:spacing w:val="-1"/>
          <w:sz w:val="24"/>
        </w:rPr>
        <w:t> </w:t>
      </w:r>
      <w:r>
        <w:rPr>
          <w:sz w:val="24"/>
        </w:rPr>
        <w:t>Tribunal</w:t>
      </w:r>
      <w:r>
        <w:rPr>
          <w:spacing w:val="-1"/>
          <w:sz w:val="24"/>
        </w:rPr>
        <w:t> </w:t>
      </w:r>
      <w:r>
        <w:rPr>
          <w:sz w:val="24"/>
        </w:rPr>
        <w:t>los datos requeridos y dicho sistema enviará al correo electrónico personal del interesado, en un plazo máximo de 24 horas, una dirección electrónica de activación, donde se deberá realizar la activación de </w:t>
      </w:r>
      <w:r>
        <w:rPr>
          <w:rFonts w:ascii="Arial MT" w:hAnsi="Arial MT"/>
          <w:sz w:val="20"/>
        </w:rPr>
        <w:t>La </w:t>
      </w:r>
      <w:r>
        <w:rPr>
          <w:sz w:val="24"/>
        </w:rPr>
        <w:t>“Dirección de Correo Electrónico otorgada por el Tribunal de lo Contencioso Administrativo”; dando click en el enlace del correo recibido, lo redireccionará a un apartado donde se mostrará </w:t>
      </w:r>
      <w:r>
        <w:rPr>
          <w:rFonts w:ascii="Arial MT" w:hAnsi="Arial MT"/>
          <w:sz w:val="20"/>
        </w:rPr>
        <w:t>La </w:t>
      </w:r>
      <w:r>
        <w:rPr>
          <w:sz w:val="24"/>
        </w:rPr>
        <w:t>“Dirección de Correo Electrónico otorgada por el Tribunal de lo Contencioso Administrativo”</w:t>
      </w:r>
      <w:r>
        <w:rPr>
          <w:spacing w:val="32"/>
          <w:sz w:val="24"/>
        </w:rPr>
        <w:t> </w:t>
      </w:r>
      <w:r>
        <w:rPr>
          <w:sz w:val="24"/>
        </w:rPr>
        <w:t>y a partir</w:t>
      </w:r>
      <w:r>
        <w:rPr>
          <w:spacing w:val="40"/>
          <w:sz w:val="24"/>
        </w:rPr>
        <w:t> </w:t>
      </w:r>
      <w:r>
        <w:rPr>
          <w:sz w:val="24"/>
        </w:rPr>
        <w:t>de ese momento, el interesado podrá hacer uso de los servicios a que se refiere la Base Primera, conforme a las especificaciones que se detallan en estas Bases y en los manuales de usuario respectivos.</w:t>
      </w:r>
    </w:p>
    <w:p>
      <w:pPr>
        <w:pStyle w:val="BodyText"/>
      </w:pPr>
    </w:p>
    <w:p>
      <w:pPr>
        <w:pStyle w:val="BodyText"/>
        <w:spacing w:before="188"/>
      </w:pPr>
    </w:p>
    <w:p>
      <w:pPr>
        <w:pStyle w:val="ListParagraph"/>
        <w:numPr>
          <w:ilvl w:val="0"/>
          <w:numId w:val="2"/>
        </w:numPr>
        <w:tabs>
          <w:tab w:pos="708" w:val="left" w:leader="none"/>
        </w:tabs>
        <w:spacing w:line="240" w:lineRule="auto" w:before="0" w:after="0"/>
        <w:ind w:left="2" w:right="139" w:firstLine="0"/>
        <w:jc w:val="both"/>
        <w:rPr>
          <w:sz w:val="24"/>
        </w:rPr>
      </w:pPr>
      <w:r>
        <w:rPr>
          <w:sz w:val="24"/>
        </w:rPr>
        <w:t>Enseguida, el Sistema Informático del Tribunal expedirá el acuse</w:t>
      </w:r>
      <w:r>
        <w:rPr>
          <w:spacing w:val="-1"/>
          <w:sz w:val="24"/>
        </w:rPr>
        <w:t> </w:t>
      </w:r>
      <w:r>
        <w:rPr>
          <w:sz w:val="24"/>
        </w:rPr>
        <w:t>de recibo</w:t>
      </w:r>
      <w:r>
        <w:rPr>
          <w:spacing w:val="-1"/>
          <w:sz w:val="24"/>
        </w:rPr>
        <w:t> </w:t>
      </w:r>
      <w:r>
        <w:rPr>
          <w:sz w:val="24"/>
        </w:rPr>
        <w:t>a que se refiere el artículo 15, fracción III, del Reglamento Interior sobre el Uso de Medios Electrónicos y Firma Electrónica del Tribunal de lo Contencioso Administrativo del Estado de Guanajuato.</w:t>
      </w:r>
    </w:p>
    <w:p>
      <w:pPr>
        <w:pStyle w:val="BodyText"/>
        <w:spacing w:before="239"/>
        <w:ind w:left="2" w:right="135"/>
        <w:jc w:val="both"/>
      </w:pPr>
      <w:r>
        <w:rPr/>
        <w:t>Además, el personal de la Secretaría entregará al interesado una copia de las presentes Bases y del manual de usuario de los servicios respectivos, lo que se hará constar en el acuse correspondiente.</w:t>
      </w:r>
    </w:p>
    <w:p>
      <w:pPr>
        <w:pStyle w:val="BodyText"/>
      </w:pPr>
    </w:p>
    <w:p>
      <w:pPr>
        <w:pStyle w:val="BodyText"/>
        <w:spacing w:before="187"/>
      </w:pPr>
    </w:p>
    <w:p>
      <w:pPr>
        <w:pStyle w:val="ListParagraph"/>
        <w:numPr>
          <w:ilvl w:val="0"/>
          <w:numId w:val="2"/>
        </w:numPr>
        <w:tabs>
          <w:tab w:pos="763" w:val="left" w:leader="none"/>
        </w:tabs>
        <w:spacing w:line="240" w:lineRule="auto" w:before="0" w:after="0"/>
        <w:ind w:left="2" w:right="145" w:firstLine="0"/>
        <w:jc w:val="both"/>
        <w:rPr>
          <w:sz w:val="24"/>
        </w:rPr>
      </w:pPr>
      <w:r>
        <w:rPr>
          <w:sz w:val="24"/>
        </w:rPr>
        <w:t>Cuando una persona señale la “Dirección de Correo Electrónico otorgada por el Tribunal de lo Contencioso Administrativo” como domicilio para oír notificaciones deberá mencionar en el cuerpo del escrito o promoción respectiva: 1) el nombre del interesado y</w:t>
      </w:r>
    </w:p>
    <w:p>
      <w:pPr>
        <w:pStyle w:val="BodyText"/>
        <w:ind w:left="2" w:right="147"/>
        <w:jc w:val="both"/>
      </w:pPr>
      <w:r>
        <w:rPr/>
        <w:t>2) la “Dirección de Correo Electrónico otorgada por el Tribunal de lo Contencioso Administrativo” señalada; a efecto de acreditar que se ha realizado el trámite regulado en esta Base.</w:t>
      </w:r>
    </w:p>
    <w:p>
      <w:pPr>
        <w:pStyle w:val="BodyText"/>
        <w:spacing w:before="241"/>
      </w:pPr>
    </w:p>
    <w:p>
      <w:pPr>
        <w:pStyle w:val="BodyText"/>
        <w:ind w:left="2" w:right="146"/>
        <w:jc w:val="both"/>
      </w:pPr>
      <w:r>
        <w:rPr/>
        <w:t>La “Dirección de Correo Electrónico otorgada por el Tribunal de lo Contencioso Administrativo” debe de pertenecer a un personaje material o formal en el expediente y deberá registrarse como personaje del expediente electrónico del sistema de control de </w:t>
      </w:r>
      <w:r>
        <w:rPr>
          <w:spacing w:val="-2"/>
        </w:rPr>
        <w:t>expedientes.</w:t>
      </w:r>
    </w:p>
    <w:p>
      <w:pPr>
        <w:pStyle w:val="BodyText"/>
        <w:spacing w:before="240"/>
      </w:pPr>
    </w:p>
    <w:p>
      <w:pPr>
        <w:pStyle w:val="BodyText"/>
        <w:ind w:left="2" w:right="141"/>
        <w:jc w:val="both"/>
      </w:pPr>
      <w:r>
        <w:rPr/>
        <w:t>El Sistema Informático del Tribunal contará con las herramientas electrónicas necesarias para verificar la validez y correspondencia entre el nombre del interesado y su “Dirección de Correo Electrónico otorgada por el Tribunal de lo Contencioso Administrativo” mencionados en los escritos o promociones.</w:t>
      </w:r>
    </w:p>
    <w:p>
      <w:pPr>
        <w:pStyle w:val="BodyText"/>
        <w:spacing w:after="0"/>
        <w:jc w:val="both"/>
        <w:sectPr>
          <w:pgSz w:w="12250" w:h="15850"/>
          <w:pgMar w:top="1380" w:bottom="280" w:left="1700" w:right="1559"/>
        </w:sectPr>
      </w:pPr>
    </w:p>
    <w:p>
      <w:pPr>
        <w:pStyle w:val="BodyText"/>
        <w:spacing w:before="36"/>
        <w:ind w:left="2" w:right="139"/>
        <w:jc w:val="both"/>
      </w:pPr>
      <w:r>
        <w:rPr>
          <w:b/>
        </w:rPr>
        <w:t>NOVENA</w:t>
      </w:r>
      <w:r>
        <w:rPr/>
        <w:t>. El interesado deberá observar en todo momento los términos y plazos establecidos para cada servicio del Sistema Informático del Tribunal, según se disponga</w:t>
      </w:r>
      <w:r>
        <w:rPr>
          <w:spacing w:val="-2"/>
        </w:rPr>
        <w:t> </w:t>
      </w:r>
      <w:r>
        <w:rPr/>
        <w:t>en el Reglamento y en los manuales de usuario respectivos.</w:t>
      </w:r>
    </w:p>
    <w:p>
      <w:pPr>
        <w:pStyle w:val="BodyText"/>
      </w:pPr>
    </w:p>
    <w:p>
      <w:pPr>
        <w:pStyle w:val="BodyText"/>
        <w:spacing w:before="186"/>
      </w:pPr>
    </w:p>
    <w:p>
      <w:pPr>
        <w:pStyle w:val="BodyText"/>
        <w:ind w:left="2"/>
        <w:jc w:val="both"/>
      </w:pPr>
      <w:r>
        <w:rPr>
          <w:b/>
        </w:rPr>
        <w:t>DECIMA</w:t>
      </w:r>
      <w:r>
        <w:rPr/>
        <w:t>.</w:t>
      </w:r>
      <w:r>
        <w:rPr>
          <w:spacing w:val="-6"/>
        </w:rPr>
        <w:t> </w:t>
      </w:r>
      <w:r>
        <w:rPr/>
        <w:t>El</w:t>
      </w:r>
      <w:r>
        <w:rPr>
          <w:spacing w:val="-3"/>
        </w:rPr>
        <w:t> </w:t>
      </w:r>
      <w:r>
        <w:rPr/>
        <w:t>interesado</w:t>
      </w:r>
      <w:r>
        <w:rPr>
          <w:spacing w:val="-3"/>
        </w:rPr>
        <w:t> </w:t>
      </w:r>
      <w:r>
        <w:rPr/>
        <w:t>deberá</w:t>
      </w:r>
      <w:r>
        <w:rPr>
          <w:spacing w:val="-4"/>
        </w:rPr>
        <w:t> </w:t>
      </w:r>
      <w:r>
        <w:rPr/>
        <w:t>mantener</w:t>
      </w:r>
      <w:r>
        <w:rPr>
          <w:spacing w:val="-2"/>
        </w:rPr>
        <w:t> </w:t>
      </w:r>
      <w:r>
        <w:rPr/>
        <w:t>la</w:t>
      </w:r>
      <w:r>
        <w:rPr>
          <w:spacing w:val="-5"/>
        </w:rPr>
        <w:t> </w:t>
      </w:r>
      <w:r>
        <w:rPr/>
        <w:t>confidencialidad</w:t>
      </w:r>
      <w:r>
        <w:rPr>
          <w:spacing w:val="-3"/>
        </w:rPr>
        <w:t> </w:t>
      </w:r>
      <w:r>
        <w:rPr/>
        <w:t>de</w:t>
      </w:r>
      <w:r>
        <w:rPr>
          <w:spacing w:val="-5"/>
        </w:rPr>
        <w:t> </w:t>
      </w:r>
      <w:r>
        <w:rPr/>
        <w:t>su</w:t>
      </w:r>
      <w:r>
        <w:rPr>
          <w:spacing w:val="-2"/>
        </w:rPr>
        <w:t> contraseña.</w:t>
      </w:r>
    </w:p>
    <w:p>
      <w:pPr>
        <w:pStyle w:val="BodyText"/>
        <w:spacing w:before="240"/>
        <w:ind w:left="2" w:right="136"/>
        <w:jc w:val="both"/>
      </w:pPr>
      <w:r>
        <w:rPr/>
        <w:t>Este</w:t>
      </w:r>
      <w:r>
        <w:rPr>
          <w:spacing w:val="-1"/>
        </w:rPr>
        <w:t> </w:t>
      </w:r>
      <w:r>
        <w:rPr/>
        <w:t>dato</w:t>
      </w:r>
      <w:r>
        <w:rPr>
          <w:spacing w:val="-1"/>
        </w:rPr>
        <w:t> </w:t>
      </w:r>
      <w:r>
        <w:rPr/>
        <w:t>será</w:t>
      </w:r>
      <w:r>
        <w:rPr>
          <w:spacing w:val="-1"/>
        </w:rPr>
        <w:t> </w:t>
      </w:r>
      <w:r>
        <w:rPr/>
        <w:t>su</w:t>
      </w:r>
      <w:r>
        <w:rPr>
          <w:spacing w:val="-1"/>
        </w:rPr>
        <w:t> </w:t>
      </w:r>
      <w:r>
        <w:rPr/>
        <w:t>credencial de</w:t>
      </w:r>
      <w:r>
        <w:rPr>
          <w:spacing w:val="-1"/>
        </w:rPr>
        <w:t> </w:t>
      </w:r>
      <w:r>
        <w:rPr/>
        <w:t>identificación</w:t>
      </w:r>
      <w:r>
        <w:rPr>
          <w:spacing w:val="-1"/>
        </w:rPr>
        <w:t> </w:t>
      </w:r>
      <w:r>
        <w:rPr/>
        <w:t>ante</w:t>
      </w:r>
      <w:r>
        <w:rPr>
          <w:spacing w:val="-1"/>
        </w:rPr>
        <w:t> </w:t>
      </w:r>
      <w:r>
        <w:rPr/>
        <w:t>el</w:t>
      </w:r>
      <w:r>
        <w:rPr>
          <w:spacing w:val="-1"/>
        </w:rPr>
        <w:t> </w:t>
      </w:r>
      <w:r>
        <w:rPr/>
        <w:t>Sistema</w:t>
      </w:r>
      <w:r>
        <w:rPr>
          <w:spacing w:val="-2"/>
        </w:rPr>
        <w:t> </w:t>
      </w:r>
      <w:r>
        <w:rPr/>
        <w:t>Informático del</w:t>
      </w:r>
      <w:r>
        <w:rPr>
          <w:spacing w:val="-1"/>
        </w:rPr>
        <w:t> </w:t>
      </w:r>
      <w:r>
        <w:rPr/>
        <w:t>Tribunal, una vez efectuado el trámite a que se refiere la Octava de las presentes Bases.</w:t>
      </w:r>
    </w:p>
    <w:p>
      <w:pPr>
        <w:pStyle w:val="BodyText"/>
        <w:spacing w:before="239"/>
        <w:ind w:left="2" w:right="146"/>
        <w:jc w:val="both"/>
      </w:pPr>
      <w:r>
        <w:rPr/>
        <w:t>En caso de olvido de la contraseña, el suscriptor deberá realizar el procedimiento que se disponga para tal efecto en la página de internet del Tribunal.</w:t>
      </w:r>
    </w:p>
    <w:p>
      <w:pPr>
        <w:pStyle w:val="BodyText"/>
      </w:pPr>
    </w:p>
    <w:p>
      <w:pPr>
        <w:pStyle w:val="BodyText"/>
        <w:spacing w:before="190"/>
      </w:pPr>
    </w:p>
    <w:p>
      <w:pPr>
        <w:pStyle w:val="BodyText"/>
        <w:ind w:left="2" w:right="146"/>
        <w:jc w:val="both"/>
      </w:pPr>
      <w:r>
        <w:rPr>
          <w:b/>
        </w:rPr>
        <w:t>DECIMOPRIMERA</w:t>
      </w:r>
      <w:r>
        <w:rPr/>
        <w:t>. El Tribunal no tendrá responsabilidad alguna en caso de defectos o fallas técnicas en la cuenta de correo personal proporcionada por el interesado.</w:t>
      </w:r>
    </w:p>
    <w:p>
      <w:pPr>
        <w:pStyle w:val="BodyText"/>
      </w:pPr>
    </w:p>
    <w:p>
      <w:pPr>
        <w:pStyle w:val="BodyText"/>
        <w:spacing w:before="186"/>
      </w:pPr>
    </w:p>
    <w:p>
      <w:pPr>
        <w:pStyle w:val="BodyText"/>
        <w:ind w:left="2" w:right="138"/>
        <w:jc w:val="both"/>
      </w:pPr>
      <w:r>
        <w:rPr>
          <w:b/>
        </w:rPr>
        <w:t>DECIMOSEGUNDA</w:t>
      </w:r>
      <w:r>
        <w:rPr/>
        <w:t>. El Pleno del Tribunal podrá modificar o suspender en todo tiempo las Bases para la prestación de los servicios del Sistema Informático, cuando existan causas justificadas que así lo ameriten.</w:t>
      </w:r>
    </w:p>
    <w:p>
      <w:pPr>
        <w:pStyle w:val="BodyText"/>
      </w:pPr>
    </w:p>
    <w:p>
      <w:pPr>
        <w:pStyle w:val="BodyText"/>
        <w:spacing w:before="187"/>
      </w:pPr>
    </w:p>
    <w:p>
      <w:pPr>
        <w:spacing w:before="0"/>
        <w:ind w:left="193" w:right="328" w:firstLine="0"/>
        <w:jc w:val="center"/>
        <w:rPr>
          <w:b/>
          <w:sz w:val="24"/>
        </w:rPr>
      </w:pPr>
      <w:r>
        <w:rPr>
          <w:b/>
          <w:spacing w:val="-2"/>
          <w:sz w:val="24"/>
        </w:rPr>
        <w:t>TRANSITORIOS</w:t>
      </w:r>
    </w:p>
    <w:p>
      <w:pPr>
        <w:pStyle w:val="BodyText"/>
        <w:spacing w:before="240"/>
        <w:ind w:left="2" w:right="138"/>
        <w:jc w:val="both"/>
      </w:pPr>
      <w:r>
        <w:rPr>
          <w:b/>
        </w:rPr>
        <w:t>ARTÍCULO PRIMERO. </w:t>
      </w:r>
      <w:r>
        <w:rPr/>
        <w:t>Las presentes Bases entrarán en vigor el día siguiente de su aprobación por el Pleno del Tribunal y deberá publicarse en la página de internet del Tribunal el mismo día de su aprobación.</w:t>
      </w:r>
    </w:p>
    <w:p>
      <w:pPr>
        <w:pStyle w:val="BodyText"/>
      </w:pPr>
    </w:p>
    <w:p>
      <w:pPr>
        <w:pStyle w:val="BodyText"/>
        <w:spacing w:before="186"/>
      </w:pPr>
    </w:p>
    <w:p>
      <w:pPr>
        <w:pStyle w:val="BodyText"/>
        <w:ind w:left="2" w:right="137"/>
        <w:jc w:val="both"/>
      </w:pPr>
      <w:r>
        <w:rPr>
          <w:b/>
        </w:rPr>
        <w:t>ARTÍCULO SEGUNDO. </w:t>
      </w:r>
      <w:r>
        <w:rPr/>
        <w:t>A partir del 1 de enero de 2013, las presentes Bases entrarán en vigor únicamente en lo relativo al servicio de notificaciones electrónicas.</w:t>
      </w:r>
    </w:p>
    <w:p>
      <w:pPr>
        <w:pStyle w:val="BodyText"/>
      </w:pPr>
    </w:p>
    <w:p>
      <w:pPr>
        <w:pStyle w:val="BodyText"/>
        <w:spacing w:before="190"/>
      </w:pPr>
    </w:p>
    <w:p>
      <w:pPr>
        <w:pStyle w:val="BodyText"/>
        <w:ind w:left="2" w:right="138"/>
        <w:jc w:val="both"/>
      </w:pPr>
      <w:r>
        <w:rPr>
          <w:b/>
        </w:rPr>
        <w:t>ARTÍCULO TERCERO. </w:t>
      </w:r>
      <w:r>
        <w:rPr/>
        <w:t>Una vez que concluya la implementación del servicio de consulta electrónica de expedientes y demás que integren el Sistema Informático del Tribunal, se notificará a los interesados por los medios electrónicos correspondientes y se entregará el manual de usuario respectivo.</w:t>
      </w:r>
    </w:p>
    <w:sectPr>
      <w:pgSz w:w="12250" w:h="15850"/>
      <w:pgMar w:top="138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54" w:hanging="564"/>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672" w:hanging="564"/>
      </w:pPr>
      <w:rPr>
        <w:rFonts w:hint="default"/>
        <w:lang w:val="es-ES" w:eastAsia="en-US" w:bidi="ar-SA"/>
      </w:rPr>
    </w:lvl>
    <w:lvl w:ilvl="2">
      <w:start w:val="0"/>
      <w:numFmt w:val="bullet"/>
      <w:lvlText w:val="•"/>
      <w:lvlJc w:val="left"/>
      <w:pPr>
        <w:ind w:left="2484" w:hanging="564"/>
      </w:pPr>
      <w:rPr>
        <w:rFonts w:hint="default"/>
        <w:lang w:val="es-ES" w:eastAsia="en-US" w:bidi="ar-SA"/>
      </w:rPr>
    </w:lvl>
    <w:lvl w:ilvl="3">
      <w:start w:val="0"/>
      <w:numFmt w:val="bullet"/>
      <w:lvlText w:val="•"/>
      <w:lvlJc w:val="left"/>
      <w:pPr>
        <w:ind w:left="3297" w:hanging="564"/>
      </w:pPr>
      <w:rPr>
        <w:rFonts w:hint="default"/>
        <w:lang w:val="es-ES" w:eastAsia="en-US" w:bidi="ar-SA"/>
      </w:rPr>
    </w:lvl>
    <w:lvl w:ilvl="4">
      <w:start w:val="0"/>
      <w:numFmt w:val="bullet"/>
      <w:lvlText w:val="•"/>
      <w:lvlJc w:val="left"/>
      <w:pPr>
        <w:ind w:left="4109" w:hanging="564"/>
      </w:pPr>
      <w:rPr>
        <w:rFonts w:hint="default"/>
        <w:lang w:val="es-ES" w:eastAsia="en-US" w:bidi="ar-SA"/>
      </w:rPr>
    </w:lvl>
    <w:lvl w:ilvl="5">
      <w:start w:val="0"/>
      <w:numFmt w:val="bullet"/>
      <w:lvlText w:val="•"/>
      <w:lvlJc w:val="left"/>
      <w:pPr>
        <w:ind w:left="4921" w:hanging="564"/>
      </w:pPr>
      <w:rPr>
        <w:rFonts w:hint="default"/>
        <w:lang w:val="es-ES" w:eastAsia="en-US" w:bidi="ar-SA"/>
      </w:rPr>
    </w:lvl>
    <w:lvl w:ilvl="6">
      <w:start w:val="0"/>
      <w:numFmt w:val="bullet"/>
      <w:lvlText w:val="•"/>
      <w:lvlJc w:val="left"/>
      <w:pPr>
        <w:ind w:left="5734" w:hanging="564"/>
      </w:pPr>
      <w:rPr>
        <w:rFonts w:hint="default"/>
        <w:lang w:val="es-ES" w:eastAsia="en-US" w:bidi="ar-SA"/>
      </w:rPr>
    </w:lvl>
    <w:lvl w:ilvl="7">
      <w:start w:val="0"/>
      <w:numFmt w:val="bullet"/>
      <w:lvlText w:val="•"/>
      <w:lvlJc w:val="left"/>
      <w:pPr>
        <w:ind w:left="6546" w:hanging="564"/>
      </w:pPr>
      <w:rPr>
        <w:rFonts w:hint="default"/>
        <w:lang w:val="es-ES" w:eastAsia="en-US" w:bidi="ar-SA"/>
      </w:rPr>
    </w:lvl>
    <w:lvl w:ilvl="8">
      <w:start w:val="0"/>
      <w:numFmt w:val="bullet"/>
      <w:lvlText w:val="•"/>
      <w:lvlJc w:val="left"/>
      <w:pPr>
        <w:ind w:left="7358" w:hanging="564"/>
      </w:pPr>
      <w:rPr>
        <w:rFonts w:hint="default"/>
        <w:lang w:val="es-ES" w:eastAsia="en-US" w:bidi="ar-SA"/>
      </w:rPr>
    </w:lvl>
  </w:abstractNum>
  <w:abstractNum w:abstractNumId="3">
    <w:multiLevelType w:val="hybridMultilevel"/>
    <w:lvl w:ilvl="0">
      <w:start w:val="0"/>
      <w:numFmt w:val="bullet"/>
      <w:lvlText w:val=""/>
      <w:lvlJc w:val="left"/>
      <w:pPr>
        <w:ind w:left="854" w:hanging="564"/>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672" w:hanging="564"/>
      </w:pPr>
      <w:rPr>
        <w:rFonts w:hint="default"/>
        <w:lang w:val="es-ES" w:eastAsia="en-US" w:bidi="ar-SA"/>
      </w:rPr>
    </w:lvl>
    <w:lvl w:ilvl="2">
      <w:start w:val="0"/>
      <w:numFmt w:val="bullet"/>
      <w:lvlText w:val="•"/>
      <w:lvlJc w:val="left"/>
      <w:pPr>
        <w:ind w:left="2484" w:hanging="564"/>
      </w:pPr>
      <w:rPr>
        <w:rFonts w:hint="default"/>
        <w:lang w:val="es-ES" w:eastAsia="en-US" w:bidi="ar-SA"/>
      </w:rPr>
    </w:lvl>
    <w:lvl w:ilvl="3">
      <w:start w:val="0"/>
      <w:numFmt w:val="bullet"/>
      <w:lvlText w:val="•"/>
      <w:lvlJc w:val="left"/>
      <w:pPr>
        <w:ind w:left="3297" w:hanging="564"/>
      </w:pPr>
      <w:rPr>
        <w:rFonts w:hint="default"/>
        <w:lang w:val="es-ES" w:eastAsia="en-US" w:bidi="ar-SA"/>
      </w:rPr>
    </w:lvl>
    <w:lvl w:ilvl="4">
      <w:start w:val="0"/>
      <w:numFmt w:val="bullet"/>
      <w:lvlText w:val="•"/>
      <w:lvlJc w:val="left"/>
      <w:pPr>
        <w:ind w:left="4109" w:hanging="564"/>
      </w:pPr>
      <w:rPr>
        <w:rFonts w:hint="default"/>
        <w:lang w:val="es-ES" w:eastAsia="en-US" w:bidi="ar-SA"/>
      </w:rPr>
    </w:lvl>
    <w:lvl w:ilvl="5">
      <w:start w:val="0"/>
      <w:numFmt w:val="bullet"/>
      <w:lvlText w:val="•"/>
      <w:lvlJc w:val="left"/>
      <w:pPr>
        <w:ind w:left="4921" w:hanging="564"/>
      </w:pPr>
      <w:rPr>
        <w:rFonts w:hint="default"/>
        <w:lang w:val="es-ES" w:eastAsia="en-US" w:bidi="ar-SA"/>
      </w:rPr>
    </w:lvl>
    <w:lvl w:ilvl="6">
      <w:start w:val="0"/>
      <w:numFmt w:val="bullet"/>
      <w:lvlText w:val="•"/>
      <w:lvlJc w:val="left"/>
      <w:pPr>
        <w:ind w:left="5734" w:hanging="564"/>
      </w:pPr>
      <w:rPr>
        <w:rFonts w:hint="default"/>
        <w:lang w:val="es-ES" w:eastAsia="en-US" w:bidi="ar-SA"/>
      </w:rPr>
    </w:lvl>
    <w:lvl w:ilvl="7">
      <w:start w:val="0"/>
      <w:numFmt w:val="bullet"/>
      <w:lvlText w:val="•"/>
      <w:lvlJc w:val="left"/>
      <w:pPr>
        <w:ind w:left="6546" w:hanging="564"/>
      </w:pPr>
      <w:rPr>
        <w:rFonts w:hint="default"/>
        <w:lang w:val="es-ES" w:eastAsia="en-US" w:bidi="ar-SA"/>
      </w:rPr>
    </w:lvl>
    <w:lvl w:ilvl="8">
      <w:start w:val="0"/>
      <w:numFmt w:val="bullet"/>
      <w:lvlText w:val="•"/>
      <w:lvlJc w:val="left"/>
      <w:pPr>
        <w:ind w:left="7358" w:hanging="564"/>
      </w:pPr>
      <w:rPr>
        <w:rFonts w:hint="default"/>
        <w:lang w:val="es-ES" w:eastAsia="en-US" w:bidi="ar-SA"/>
      </w:rPr>
    </w:lvl>
  </w:abstractNum>
  <w:abstractNum w:abstractNumId="1">
    <w:multiLevelType w:val="hybridMultilevel"/>
    <w:lvl w:ilvl="0">
      <w:start w:val="1"/>
      <w:numFmt w:val="upperRoman"/>
      <w:lvlText w:val="%1."/>
      <w:lvlJc w:val="left"/>
      <w:pPr>
        <w:ind w:left="2" w:hanging="708"/>
        <w:jc w:val="left"/>
      </w:pPr>
      <w:rPr>
        <w:rFonts w:hint="default" w:ascii="Calibri" w:hAnsi="Calibri" w:eastAsia="Calibri" w:cs="Calibri"/>
        <w:b/>
        <w:bCs/>
        <w:i w:val="0"/>
        <w:iCs w:val="0"/>
        <w:spacing w:val="0"/>
        <w:w w:val="100"/>
        <w:sz w:val="24"/>
        <w:szCs w:val="24"/>
        <w:lang w:val="es-ES" w:eastAsia="en-US" w:bidi="ar-SA"/>
      </w:rPr>
    </w:lvl>
    <w:lvl w:ilvl="1">
      <w:start w:val="1"/>
      <w:numFmt w:val="lowerLetter"/>
      <w:lvlText w:val="%2)"/>
      <w:lvlJc w:val="left"/>
      <w:pPr>
        <w:ind w:left="1418" w:hanging="850"/>
        <w:jc w:val="left"/>
      </w:pPr>
      <w:rPr>
        <w:rFonts w:hint="default" w:ascii="Calibri" w:hAnsi="Calibri" w:eastAsia="Calibri" w:cs="Calibri"/>
        <w:b w:val="0"/>
        <w:bCs w:val="0"/>
        <w:i w:val="0"/>
        <w:iCs w:val="0"/>
        <w:spacing w:val="0"/>
        <w:w w:val="100"/>
        <w:sz w:val="24"/>
        <w:szCs w:val="24"/>
        <w:lang w:val="es-ES" w:eastAsia="en-US" w:bidi="ar-SA"/>
      </w:rPr>
    </w:lvl>
    <w:lvl w:ilvl="2">
      <w:start w:val="1"/>
      <w:numFmt w:val="decimal"/>
      <w:lvlText w:val="%2.%3."/>
      <w:lvlJc w:val="left"/>
      <w:pPr>
        <w:ind w:left="2" w:hanging="516"/>
        <w:jc w:val="left"/>
      </w:pPr>
      <w:rPr>
        <w:rFonts w:hint="default" w:ascii="Calibri" w:hAnsi="Calibri" w:eastAsia="Calibri" w:cs="Calibri"/>
        <w:b w:val="0"/>
        <w:bCs w:val="0"/>
        <w:i w:val="0"/>
        <w:iCs w:val="0"/>
        <w:spacing w:val="-1"/>
        <w:w w:val="100"/>
        <w:sz w:val="24"/>
        <w:szCs w:val="24"/>
        <w:lang w:val="es-ES" w:eastAsia="en-US" w:bidi="ar-SA"/>
      </w:rPr>
    </w:lvl>
    <w:lvl w:ilvl="3">
      <w:start w:val="0"/>
      <w:numFmt w:val="bullet"/>
      <w:lvlText w:val=""/>
      <w:lvlJc w:val="left"/>
      <w:pPr>
        <w:ind w:left="854" w:hanging="564"/>
      </w:pPr>
      <w:rPr>
        <w:rFonts w:hint="default" w:ascii="Symbol" w:hAnsi="Symbol" w:eastAsia="Symbol" w:cs="Symbol"/>
        <w:spacing w:val="0"/>
        <w:w w:val="100"/>
        <w:lang w:val="es-ES" w:eastAsia="en-US" w:bidi="ar-SA"/>
      </w:rPr>
    </w:lvl>
    <w:lvl w:ilvl="4">
      <w:start w:val="0"/>
      <w:numFmt w:val="bullet"/>
      <w:lvlText w:val="•"/>
      <w:lvlJc w:val="left"/>
      <w:pPr>
        <w:ind w:left="3310" w:hanging="564"/>
      </w:pPr>
      <w:rPr>
        <w:rFonts w:hint="default"/>
        <w:lang w:val="es-ES" w:eastAsia="en-US" w:bidi="ar-SA"/>
      </w:rPr>
    </w:lvl>
    <w:lvl w:ilvl="5">
      <w:start w:val="0"/>
      <w:numFmt w:val="bullet"/>
      <w:lvlText w:val="•"/>
      <w:lvlJc w:val="left"/>
      <w:pPr>
        <w:ind w:left="4256" w:hanging="564"/>
      </w:pPr>
      <w:rPr>
        <w:rFonts w:hint="default"/>
        <w:lang w:val="es-ES" w:eastAsia="en-US" w:bidi="ar-SA"/>
      </w:rPr>
    </w:lvl>
    <w:lvl w:ilvl="6">
      <w:start w:val="0"/>
      <w:numFmt w:val="bullet"/>
      <w:lvlText w:val="•"/>
      <w:lvlJc w:val="left"/>
      <w:pPr>
        <w:ind w:left="5201" w:hanging="564"/>
      </w:pPr>
      <w:rPr>
        <w:rFonts w:hint="default"/>
        <w:lang w:val="es-ES" w:eastAsia="en-US" w:bidi="ar-SA"/>
      </w:rPr>
    </w:lvl>
    <w:lvl w:ilvl="7">
      <w:start w:val="0"/>
      <w:numFmt w:val="bullet"/>
      <w:lvlText w:val="•"/>
      <w:lvlJc w:val="left"/>
      <w:pPr>
        <w:ind w:left="6147" w:hanging="564"/>
      </w:pPr>
      <w:rPr>
        <w:rFonts w:hint="default"/>
        <w:lang w:val="es-ES" w:eastAsia="en-US" w:bidi="ar-SA"/>
      </w:rPr>
    </w:lvl>
    <w:lvl w:ilvl="8">
      <w:start w:val="0"/>
      <w:numFmt w:val="bullet"/>
      <w:lvlText w:val="•"/>
      <w:lvlJc w:val="left"/>
      <w:pPr>
        <w:ind w:left="7092" w:hanging="564"/>
      </w:pPr>
      <w:rPr>
        <w:rFonts w:hint="default"/>
        <w:lang w:val="es-ES" w:eastAsia="en-US" w:bidi="ar-SA"/>
      </w:rPr>
    </w:lvl>
  </w:abstractNum>
  <w:abstractNum w:abstractNumId="0">
    <w:multiLevelType w:val="hybridMultilevel"/>
    <w:lvl w:ilvl="0">
      <w:start w:val="1"/>
      <w:numFmt w:val="upperRoman"/>
      <w:lvlText w:val="%1."/>
      <w:lvlJc w:val="left"/>
      <w:pPr>
        <w:ind w:left="714" w:hanging="485"/>
        <w:jc w:val="right"/>
      </w:pPr>
      <w:rPr>
        <w:rFonts w:hint="default" w:ascii="Calibri" w:hAnsi="Calibri" w:eastAsia="Calibri" w:cs="Calibri"/>
        <w:b/>
        <w:bCs/>
        <w:i w:val="0"/>
        <w:iCs w:val="0"/>
        <w:spacing w:val="0"/>
        <w:w w:val="100"/>
        <w:sz w:val="24"/>
        <w:szCs w:val="24"/>
        <w:lang w:val="es-ES" w:eastAsia="en-US" w:bidi="ar-SA"/>
      </w:rPr>
    </w:lvl>
    <w:lvl w:ilvl="1">
      <w:start w:val="0"/>
      <w:numFmt w:val="bullet"/>
      <w:lvlText w:val="•"/>
      <w:lvlJc w:val="left"/>
      <w:pPr>
        <w:ind w:left="1546" w:hanging="485"/>
      </w:pPr>
      <w:rPr>
        <w:rFonts w:hint="default"/>
        <w:lang w:val="es-ES" w:eastAsia="en-US" w:bidi="ar-SA"/>
      </w:rPr>
    </w:lvl>
    <w:lvl w:ilvl="2">
      <w:start w:val="0"/>
      <w:numFmt w:val="bullet"/>
      <w:lvlText w:val="•"/>
      <w:lvlJc w:val="left"/>
      <w:pPr>
        <w:ind w:left="2372" w:hanging="485"/>
      </w:pPr>
      <w:rPr>
        <w:rFonts w:hint="default"/>
        <w:lang w:val="es-ES" w:eastAsia="en-US" w:bidi="ar-SA"/>
      </w:rPr>
    </w:lvl>
    <w:lvl w:ilvl="3">
      <w:start w:val="0"/>
      <w:numFmt w:val="bullet"/>
      <w:lvlText w:val="•"/>
      <w:lvlJc w:val="left"/>
      <w:pPr>
        <w:ind w:left="3199" w:hanging="485"/>
      </w:pPr>
      <w:rPr>
        <w:rFonts w:hint="default"/>
        <w:lang w:val="es-ES" w:eastAsia="en-US" w:bidi="ar-SA"/>
      </w:rPr>
    </w:lvl>
    <w:lvl w:ilvl="4">
      <w:start w:val="0"/>
      <w:numFmt w:val="bullet"/>
      <w:lvlText w:val="•"/>
      <w:lvlJc w:val="left"/>
      <w:pPr>
        <w:ind w:left="4025" w:hanging="485"/>
      </w:pPr>
      <w:rPr>
        <w:rFonts w:hint="default"/>
        <w:lang w:val="es-ES" w:eastAsia="en-US" w:bidi="ar-SA"/>
      </w:rPr>
    </w:lvl>
    <w:lvl w:ilvl="5">
      <w:start w:val="0"/>
      <w:numFmt w:val="bullet"/>
      <w:lvlText w:val="•"/>
      <w:lvlJc w:val="left"/>
      <w:pPr>
        <w:ind w:left="4851" w:hanging="485"/>
      </w:pPr>
      <w:rPr>
        <w:rFonts w:hint="default"/>
        <w:lang w:val="es-ES" w:eastAsia="en-US" w:bidi="ar-SA"/>
      </w:rPr>
    </w:lvl>
    <w:lvl w:ilvl="6">
      <w:start w:val="0"/>
      <w:numFmt w:val="bullet"/>
      <w:lvlText w:val="•"/>
      <w:lvlJc w:val="left"/>
      <w:pPr>
        <w:ind w:left="5678" w:hanging="485"/>
      </w:pPr>
      <w:rPr>
        <w:rFonts w:hint="default"/>
        <w:lang w:val="es-ES" w:eastAsia="en-US" w:bidi="ar-SA"/>
      </w:rPr>
    </w:lvl>
    <w:lvl w:ilvl="7">
      <w:start w:val="0"/>
      <w:numFmt w:val="bullet"/>
      <w:lvlText w:val="•"/>
      <w:lvlJc w:val="left"/>
      <w:pPr>
        <w:ind w:left="6504" w:hanging="485"/>
      </w:pPr>
      <w:rPr>
        <w:rFonts w:hint="default"/>
        <w:lang w:val="es-ES" w:eastAsia="en-US" w:bidi="ar-SA"/>
      </w:rPr>
    </w:lvl>
    <w:lvl w:ilvl="8">
      <w:start w:val="0"/>
      <w:numFmt w:val="bullet"/>
      <w:lvlText w:val="•"/>
      <w:lvlJc w:val="left"/>
      <w:pPr>
        <w:ind w:left="7330" w:hanging="485"/>
      </w:pPr>
      <w:rPr>
        <w:rFonts w:hint="default"/>
        <w:lang w:val="es-ES" w:eastAsia="en-US" w:bidi="ar-SA"/>
      </w:rPr>
    </w:lvl>
  </w:abstract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4"/>
      <w:szCs w:val="24"/>
      <w:lang w:val="es-ES" w:eastAsia="en-US" w:bidi="ar-SA"/>
    </w:rPr>
  </w:style>
  <w:style w:styleId="Title" w:type="paragraph">
    <w:name w:val="Title"/>
    <w:basedOn w:val="Normal"/>
    <w:uiPriority w:val="1"/>
    <w:qFormat/>
    <w:pPr>
      <w:spacing w:before="16"/>
      <w:ind w:left="189" w:right="328"/>
      <w:jc w:val="center"/>
    </w:pPr>
    <w:rPr>
      <w:rFonts w:ascii="Calibri" w:hAnsi="Calibri" w:eastAsia="Calibri" w:cs="Calibri"/>
      <w:b/>
      <w:bCs/>
      <w:sz w:val="28"/>
      <w:szCs w:val="28"/>
      <w:lang w:val="es-ES" w:eastAsia="en-US" w:bidi="ar-SA"/>
    </w:rPr>
  </w:style>
  <w:style w:styleId="ListParagraph" w:type="paragraph">
    <w:name w:val="List Paragraph"/>
    <w:basedOn w:val="Normal"/>
    <w:uiPriority w:val="1"/>
    <w:qFormat/>
    <w:pPr>
      <w:spacing w:before="240"/>
      <w:ind w:left="854"/>
    </w:pPr>
    <w:rPr>
      <w:rFonts w:ascii="Calibri" w:hAnsi="Calibri" w:eastAsia="Calibri" w:cs="Calibri"/>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SUPREMO TRIBUNAL DE JUSTICIA</dc:creator>
  <dc:title>Condiciones y términos de uso</dc:title>
  <dcterms:created xsi:type="dcterms:W3CDTF">2025-12-05T20:50:53Z</dcterms:created>
  <dcterms:modified xsi:type="dcterms:W3CDTF">2025-12-05T20:50:53Z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2013-04-01T00:00:00Z</vt:filetime>
  </property>
  <property fmtid="{D5CDD505-2E9C-101B-9397-08002B2CF9AE}" pid="3" name="Creator">
    <vt:lpwstr>Microsoft® Word 2010</vt:lpwstr>
  </property>
  <property fmtid="{D5CDD505-2E9C-101B-9397-08002B2CF9AE}" pid="4" name="LastSaved">
    <vt:filetime>2025-12-05T00:00:00Z</vt:filetime>
  </property>
  <property fmtid="{D5CDD505-2E9C-101B-9397-08002B2CF9AE}" pid="5" name="Producer">
    <vt:lpwstr>Microsoft® Word 2010</vt:lpwstr>
  </property>
</Properties>
</file>