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17BC" w14:textId="246C8D2B" w:rsidR="00A9551B" w:rsidRDefault="00CE5EF0" w:rsidP="00EC2C1E">
      <w:pPr>
        <w:pStyle w:val="NormalWeb"/>
      </w:pPr>
      <w:bookmarkStart w:id="0" w:name="_Hlk152764902"/>
      <w:bookmarkStart w:id="1" w:name="_Hlk188353816"/>
      <w:bookmarkEnd w:id="1"/>
      <w:r>
        <w:rPr>
          <w:rFonts w:cstheme="minorHAnsi"/>
          <w:noProof/>
          <w14:ligatures w14:val="standardContextual"/>
        </w:rPr>
        <w:drawing>
          <wp:inline distT="0" distB="0" distL="0" distR="0" wp14:anchorId="73707373" wp14:editId="3E95AEBF">
            <wp:extent cx="7795260" cy="10088247"/>
            <wp:effectExtent l="0" t="0" r="0" b="8255"/>
            <wp:docPr id="12907078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7870" name="Imagen 12907078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958" cy="10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3ABB" w14:textId="5ABAA74E" w:rsidR="00A9551B" w:rsidRDefault="00A9551B" w:rsidP="00A9551B">
      <w:pPr>
        <w:ind w:left="-1701"/>
        <w:rPr>
          <w:rFonts w:cstheme="minorHAnsi"/>
        </w:rPr>
        <w:sectPr w:rsidR="00A9551B" w:rsidSect="00B01A6F">
          <w:footerReference w:type="default" r:id="rId9"/>
          <w:pgSz w:w="12240" w:h="15840"/>
          <w:pgMar w:top="0" w:right="49" w:bottom="0" w:left="0" w:header="708" w:footer="708" w:gutter="0"/>
          <w:cols w:space="708"/>
          <w:docGrid w:linePitch="360"/>
        </w:sectPr>
      </w:pPr>
    </w:p>
    <w:p w14:paraId="6BE01DD0" w14:textId="77777777" w:rsidR="00931F51" w:rsidRDefault="00931F51" w:rsidP="009E0AC6">
      <w:pPr>
        <w:spacing w:after="0"/>
        <w:jc w:val="both"/>
        <w:rPr>
          <w:rFonts w:cstheme="minorHAnsi"/>
          <w:b/>
          <w:color w:val="222A35" w:themeColor="text2" w:themeShade="80"/>
          <w:sz w:val="36"/>
        </w:rPr>
      </w:pPr>
    </w:p>
    <w:p w14:paraId="51ED6CAE" w14:textId="77777777" w:rsidR="00F306CB" w:rsidRDefault="00F306CB" w:rsidP="009E0AC6">
      <w:pPr>
        <w:spacing w:after="0"/>
        <w:jc w:val="both"/>
        <w:rPr>
          <w:rFonts w:ascii="Arial Rounded MT Bold" w:hAnsi="Arial Rounded MT Bold" w:cstheme="minorHAnsi"/>
          <w:b/>
          <w:color w:val="385623" w:themeColor="accent6" w:themeShade="80"/>
          <w:sz w:val="32"/>
          <w:szCs w:val="20"/>
        </w:rPr>
      </w:pPr>
    </w:p>
    <w:p w14:paraId="66DF25C6" w14:textId="420B98B0" w:rsidR="009E0AC6" w:rsidRPr="00ED34D5" w:rsidRDefault="009E0AC6" w:rsidP="009E0AC6">
      <w:pPr>
        <w:spacing w:after="0"/>
        <w:jc w:val="both"/>
        <w:rPr>
          <w:rFonts w:ascii="Arial Rounded MT Bold" w:hAnsi="Arial Rounded MT Bold" w:cstheme="minorHAnsi"/>
          <w:b/>
          <w:color w:val="385623" w:themeColor="accent6" w:themeShade="80"/>
          <w:sz w:val="32"/>
          <w:szCs w:val="20"/>
        </w:rPr>
      </w:pPr>
      <w:r w:rsidRPr="00ED34D5">
        <w:rPr>
          <w:rFonts w:ascii="Arial Rounded MT Bold" w:hAnsi="Arial Rounded MT Bold" w:cstheme="minorHAnsi"/>
          <w:b/>
          <w:color w:val="385623" w:themeColor="accent6" w:themeShade="80"/>
          <w:sz w:val="32"/>
          <w:szCs w:val="20"/>
        </w:rPr>
        <w:t>Presentación</w:t>
      </w:r>
    </w:p>
    <w:p w14:paraId="19B9109F" w14:textId="77777777" w:rsidR="009E0AC6" w:rsidRPr="008B758B" w:rsidRDefault="009E0AC6" w:rsidP="009E0AC6">
      <w:pPr>
        <w:spacing w:after="0"/>
        <w:jc w:val="both"/>
        <w:rPr>
          <w:rFonts w:cstheme="minorHAnsi"/>
          <w:b/>
        </w:rPr>
      </w:pPr>
    </w:p>
    <w:p w14:paraId="6BBF689E" w14:textId="77777777" w:rsidR="009E0AC6" w:rsidRPr="008B758B" w:rsidRDefault="009E0AC6" w:rsidP="009E0AC6">
      <w:pPr>
        <w:spacing w:after="0"/>
        <w:jc w:val="both"/>
        <w:rPr>
          <w:rFonts w:cstheme="minorHAnsi"/>
        </w:rPr>
      </w:pPr>
    </w:p>
    <w:p w14:paraId="291D72D5" w14:textId="77777777" w:rsidR="009E0AC6" w:rsidRPr="008B758B" w:rsidRDefault="009E0AC6" w:rsidP="009E0AC6">
      <w:pPr>
        <w:spacing w:after="0"/>
        <w:jc w:val="both"/>
        <w:rPr>
          <w:rFonts w:cstheme="minorHAnsi"/>
        </w:rPr>
      </w:pPr>
    </w:p>
    <w:p w14:paraId="2D870693" w14:textId="4B62FF3C" w:rsidR="009E0AC6" w:rsidRDefault="00DE75B2" w:rsidP="009E0AC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 manejo adecuado y la conservación de los documentos son elementos clave para el funcionamiento eficiente y transparente de cualquier institución pública. En este sentido, durante el año 2024 el Tribunal de Justicia Administrativa del Estado de Guanajuato </w:t>
      </w:r>
      <w:r w:rsidR="009C3B96">
        <w:rPr>
          <w:rFonts w:cstheme="minorHAnsi"/>
        </w:rPr>
        <w:t>llev</w:t>
      </w:r>
      <w:r w:rsidR="00C52059">
        <w:rPr>
          <w:rFonts w:cstheme="minorHAnsi"/>
        </w:rPr>
        <w:t>ó a cabo</w:t>
      </w:r>
      <w:r w:rsidR="009C3B96">
        <w:rPr>
          <w:rFonts w:cstheme="minorHAnsi"/>
        </w:rPr>
        <w:t xml:space="preserve"> acciones encaminadas a organizar, gestionar y preservar </w:t>
      </w:r>
      <w:r w:rsidR="00BD4D27">
        <w:rPr>
          <w:rFonts w:cstheme="minorHAnsi"/>
        </w:rPr>
        <w:t xml:space="preserve">el patrimonio </w:t>
      </w:r>
      <w:r w:rsidR="00DF5AB9">
        <w:rPr>
          <w:rFonts w:cstheme="minorHAnsi"/>
        </w:rPr>
        <w:t xml:space="preserve">documental </w:t>
      </w:r>
      <w:r w:rsidR="00B9288B">
        <w:rPr>
          <w:rFonts w:cstheme="minorHAnsi"/>
        </w:rPr>
        <w:t>institucional</w:t>
      </w:r>
      <w:r w:rsidR="0018104F">
        <w:rPr>
          <w:rFonts w:cstheme="minorHAnsi"/>
        </w:rPr>
        <w:t xml:space="preserve">, como evidencia </w:t>
      </w:r>
      <w:r w:rsidR="00E91CAC">
        <w:rPr>
          <w:rFonts w:cstheme="minorHAnsi"/>
        </w:rPr>
        <w:t>d</w:t>
      </w:r>
      <w:r w:rsidR="003A43F4">
        <w:rPr>
          <w:rFonts w:cstheme="minorHAnsi"/>
        </w:rPr>
        <w:t>e su labor administrativa y jurisdiccional.</w:t>
      </w:r>
    </w:p>
    <w:p w14:paraId="4423D5E3" w14:textId="77777777" w:rsidR="00EE20EA" w:rsidRDefault="00EE20EA" w:rsidP="009E0AC6">
      <w:pPr>
        <w:spacing w:after="0" w:line="360" w:lineRule="auto"/>
        <w:jc w:val="both"/>
        <w:rPr>
          <w:rFonts w:cstheme="minorHAnsi"/>
        </w:rPr>
      </w:pPr>
    </w:p>
    <w:p w14:paraId="3B542B15" w14:textId="5705BBD3" w:rsidR="00F46D1B" w:rsidRDefault="00450ADB" w:rsidP="009E0AC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El presente informe </w:t>
      </w:r>
      <w:r w:rsidR="00A47F46">
        <w:rPr>
          <w:rFonts w:cstheme="minorHAnsi"/>
        </w:rPr>
        <w:t xml:space="preserve">tiene como objetivo </w:t>
      </w:r>
      <w:r w:rsidR="00882C56">
        <w:rPr>
          <w:rFonts w:cstheme="minorHAnsi"/>
        </w:rPr>
        <w:t>mostrar</w:t>
      </w:r>
      <w:r w:rsidR="0063056A">
        <w:rPr>
          <w:rFonts w:cstheme="minorHAnsi"/>
        </w:rPr>
        <w:t xml:space="preserve"> el </w:t>
      </w:r>
      <w:r w:rsidR="009E05CC">
        <w:rPr>
          <w:rFonts w:cstheme="minorHAnsi"/>
        </w:rPr>
        <w:t>desempeño</w:t>
      </w:r>
      <w:r w:rsidR="006379FF">
        <w:rPr>
          <w:rFonts w:cstheme="minorHAnsi"/>
        </w:rPr>
        <w:t xml:space="preserve"> alcanzado </w:t>
      </w:r>
      <w:r w:rsidR="0063056A">
        <w:rPr>
          <w:rFonts w:cstheme="minorHAnsi"/>
        </w:rPr>
        <w:t>e</w:t>
      </w:r>
      <w:r w:rsidR="006379FF">
        <w:rPr>
          <w:rFonts w:cstheme="minorHAnsi"/>
        </w:rPr>
        <w:t>n</w:t>
      </w:r>
      <w:r w:rsidR="0063056A">
        <w:rPr>
          <w:rFonts w:cstheme="minorHAnsi"/>
        </w:rPr>
        <w:t xml:space="preserve"> las metas </w:t>
      </w:r>
      <w:r w:rsidR="00D65686">
        <w:rPr>
          <w:rFonts w:cstheme="minorHAnsi"/>
        </w:rPr>
        <w:t>propuestas</w:t>
      </w:r>
      <w:r w:rsidR="0063056A">
        <w:rPr>
          <w:rFonts w:cstheme="minorHAnsi"/>
        </w:rPr>
        <w:t xml:space="preserve"> en</w:t>
      </w:r>
      <w:r w:rsidR="00A54223">
        <w:rPr>
          <w:rFonts w:cstheme="minorHAnsi"/>
        </w:rPr>
        <w:t xml:space="preserve"> </w:t>
      </w:r>
      <w:r w:rsidR="00504D35">
        <w:rPr>
          <w:rFonts w:cstheme="minorHAnsi"/>
        </w:rPr>
        <w:t xml:space="preserve">el </w:t>
      </w:r>
      <w:r w:rsidR="00A54223">
        <w:rPr>
          <w:rFonts w:cstheme="minorHAnsi"/>
        </w:rPr>
        <w:t>Programa Anual de Desarrollo Archivístico (</w:t>
      </w:r>
      <w:r w:rsidR="00990F8F">
        <w:rPr>
          <w:rFonts w:cstheme="minorHAnsi"/>
        </w:rPr>
        <w:t>PADA) 2024</w:t>
      </w:r>
      <w:r w:rsidR="00C75F81">
        <w:rPr>
          <w:rFonts w:cstheme="minorHAnsi"/>
        </w:rPr>
        <w:t xml:space="preserve">, las cuales </w:t>
      </w:r>
      <w:r w:rsidR="00AC140C">
        <w:rPr>
          <w:rFonts w:cstheme="minorHAnsi"/>
        </w:rPr>
        <w:t>se</w:t>
      </w:r>
      <w:r w:rsidR="00C75F81">
        <w:rPr>
          <w:rFonts w:cstheme="minorHAnsi"/>
        </w:rPr>
        <w:t xml:space="preserve"> vincula</w:t>
      </w:r>
      <w:r w:rsidR="00AC140C">
        <w:rPr>
          <w:rFonts w:cstheme="minorHAnsi"/>
        </w:rPr>
        <w:t>n</w:t>
      </w:r>
      <w:r w:rsidR="00886F6F">
        <w:rPr>
          <w:rFonts w:cstheme="minorHAnsi"/>
        </w:rPr>
        <w:t xml:space="preserve"> a</w:t>
      </w:r>
      <w:r w:rsidR="007C7179">
        <w:rPr>
          <w:rFonts w:cstheme="minorHAnsi"/>
        </w:rPr>
        <w:t xml:space="preserve"> las</w:t>
      </w:r>
      <w:r w:rsidR="00DB74F0">
        <w:rPr>
          <w:rFonts w:cstheme="minorHAnsi"/>
        </w:rPr>
        <w:t xml:space="preserve"> </w:t>
      </w:r>
      <w:r w:rsidR="005C5CFB">
        <w:rPr>
          <w:rFonts w:cstheme="minorHAnsi"/>
        </w:rPr>
        <w:t>líneas estratégicas</w:t>
      </w:r>
      <w:r w:rsidR="00DB74F0">
        <w:rPr>
          <w:rFonts w:cstheme="minorHAnsi"/>
        </w:rPr>
        <w:t xml:space="preserve"> </w:t>
      </w:r>
      <w:r w:rsidR="00B952EA">
        <w:rPr>
          <w:rFonts w:cstheme="minorHAnsi"/>
        </w:rPr>
        <w:t>que fueron</w:t>
      </w:r>
      <w:r w:rsidR="009A3652">
        <w:rPr>
          <w:rFonts w:cstheme="minorHAnsi"/>
        </w:rPr>
        <w:t xml:space="preserve"> establecidas con e</w:t>
      </w:r>
      <w:r w:rsidR="00DB74F0">
        <w:rPr>
          <w:rFonts w:cstheme="minorHAnsi"/>
        </w:rPr>
        <w:t xml:space="preserve">l propósito de optimizar </w:t>
      </w:r>
      <w:r w:rsidR="00774388">
        <w:rPr>
          <w:rFonts w:cstheme="minorHAnsi"/>
        </w:rPr>
        <w:t xml:space="preserve">la gestión documental, fortalecer el sistema institucional de archivos y conservar adecuadamente el acervo del Tribunal de Justicia Administrativa, </w:t>
      </w:r>
      <w:r w:rsidR="00940842">
        <w:rPr>
          <w:rFonts w:cstheme="minorHAnsi"/>
        </w:rPr>
        <w:t xml:space="preserve">para </w:t>
      </w:r>
      <w:r w:rsidR="00774388">
        <w:rPr>
          <w:rFonts w:cstheme="minorHAnsi"/>
        </w:rPr>
        <w:t>contribu</w:t>
      </w:r>
      <w:r w:rsidR="00940842">
        <w:rPr>
          <w:rFonts w:cstheme="minorHAnsi"/>
        </w:rPr>
        <w:t>ir</w:t>
      </w:r>
      <w:r w:rsidR="00B66AA3">
        <w:rPr>
          <w:rFonts w:cstheme="minorHAnsi"/>
        </w:rPr>
        <w:t xml:space="preserve"> </w:t>
      </w:r>
      <w:r w:rsidR="00D24262">
        <w:rPr>
          <w:rFonts w:cstheme="minorHAnsi"/>
        </w:rPr>
        <w:t xml:space="preserve">no solo </w:t>
      </w:r>
      <w:r w:rsidR="00EE1D41">
        <w:rPr>
          <w:rFonts w:cstheme="minorHAnsi"/>
        </w:rPr>
        <w:t>a</w:t>
      </w:r>
      <w:r w:rsidR="00774388">
        <w:rPr>
          <w:rFonts w:cstheme="minorHAnsi"/>
        </w:rPr>
        <w:t>l cumplimiento de las disposiciones normativas</w:t>
      </w:r>
      <w:r w:rsidR="00D24262">
        <w:rPr>
          <w:rFonts w:cstheme="minorHAnsi"/>
        </w:rPr>
        <w:t>, sino a</w:t>
      </w:r>
      <w:r w:rsidR="00774388">
        <w:rPr>
          <w:rFonts w:cstheme="minorHAnsi"/>
        </w:rPr>
        <w:t xml:space="preserve"> </w:t>
      </w:r>
      <w:r w:rsidR="00F94BA8">
        <w:rPr>
          <w:rFonts w:cstheme="minorHAnsi"/>
        </w:rPr>
        <w:t>fomentar las</w:t>
      </w:r>
      <w:r w:rsidR="00774388">
        <w:rPr>
          <w:rFonts w:cstheme="minorHAnsi"/>
        </w:rPr>
        <w:t xml:space="preserve"> buenas prácticas archivísticas.</w:t>
      </w:r>
    </w:p>
    <w:p w14:paraId="1CCB5CB5" w14:textId="77777777" w:rsidR="00F46D1B" w:rsidRDefault="00F46D1B" w:rsidP="009E0AC6">
      <w:pPr>
        <w:spacing w:after="0" w:line="360" w:lineRule="auto"/>
        <w:jc w:val="both"/>
        <w:rPr>
          <w:rFonts w:cstheme="minorHAnsi"/>
        </w:rPr>
      </w:pPr>
    </w:p>
    <w:p w14:paraId="50EC1432" w14:textId="4AF98DB1" w:rsidR="00EE20EA" w:rsidRDefault="00E239D8" w:rsidP="009E0AC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Así pues, </w:t>
      </w:r>
      <w:r w:rsidR="00064B1C">
        <w:rPr>
          <w:rFonts w:cstheme="minorHAnsi"/>
        </w:rPr>
        <w:t xml:space="preserve">en </w:t>
      </w:r>
      <w:r>
        <w:rPr>
          <w:rFonts w:cstheme="minorHAnsi"/>
        </w:rPr>
        <w:t>e</w:t>
      </w:r>
      <w:r w:rsidR="00AE3565">
        <w:rPr>
          <w:rFonts w:cstheme="minorHAnsi"/>
        </w:rPr>
        <w:t xml:space="preserve">ste </w:t>
      </w:r>
      <w:r w:rsidR="000E10D6">
        <w:rPr>
          <w:rFonts w:cstheme="minorHAnsi"/>
        </w:rPr>
        <w:t xml:space="preserve">documento </w:t>
      </w:r>
      <w:r w:rsidR="001E3A74">
        <w:rPr>
          <w:rFonts w:cstheme="minorHAnsi"/>
        </w:rPr>
        <w:t xml:space="preserve">queda patentado </w:t>
      </w:r>
      <w:r w:rsidR="00AE3565">
        <w:rPr>
          <w:rFonts w:cstheme="minorHAnsi"/>
        </w:rPr>
        <w:t>el compromiso del Tribunal con la mejora continua e</w:t>
      </w:r>
      <w:r w:rsidR="00052F54">
        <w:rPr>
          <w:rFonts w:cstheme="minorHAnsi"/>
        </w:rPr>
        <w:t>n</w:t>
      </w:r>
      <w:r w:rsidR="00AE3565">
        <w:rPr>
          <w:rFonts w:cstheme="minorHAnsi"/>
        </w:rPr>
        <w:t xml:space="preserve"> su gestión archivística</w:t>
      </w:r>
      <w:r w:rsidR="000B7A97">
        <w:rPr>
          <w:rFonts w:cstheme="minorHAnsi"/>
        </w:rPr>
        <w:t xml:space="preserve">, </w:t>
      </w:r>
      <w:r w:rsidR="00B92FBE">
        <w:rPr>
          <w:rFonts w:cstheme="minorHAnsi"/>
        </w:rPr>
        <w:t>así como el</w:t>
      </w:r>
      <w:r w:rsidR="000B7A97">
        <w:rPr>
          <w:rFonts w:cstheme="minorHAnsi"/>
        </w:rPr>
        <w:t xml:space="preserve"> esfuerzo </w:t>
      </w:r>
      <w:r w:rsidR="001F09B5">
        <w:rPr>
          <w:rFonts w:cstheme="minorHAnsi"/>
        </w:rPr>
        <w:t xml:space="preserve">de las personas que colaboraron </w:t>
      </w:r>
      <w:r w:rsidR="000E7146">
        <w:rPr>
          <w:rFonts w:cstheme="minorHAnsi"/>
        </w:rPr>
        <w:t>pa</w:t>
      </w:r>
      <w:r w:rsidR="00D008A4">
        <w:rPr>
          <w:rFonts w:cstheme="minorHAnsi"/>
        </w:rPr>
        <w:t>ra que hoy se puedan reportar estos logros</w:t>
      </w:r>
      <w:r w:rsidR="0034489F">
        <w:rPr>
          <w:rFonts w:cstheme="minorHAnsi"/>
        </w:rPr>
        <w:t>.</w:t>
      </w:r>
      <w:r w:rsidR="000B4785">
        <w:rPr>
          <w:rFonts w:cstheme="minorHAnsi"/>
        </w:rPr>
        <w:t xml:space="preserve"> </w:t>
      </w:r>
    </w:p>
    <w:p w14:paraId="301413E3" w14:textId="77777777" w:rsidR="009E0AC6" w:rsidRDefault="009E0AC6" w:rsidP="009E0AC6">
      <w:pPr>
        <w:spacing w:after="0" w:line="360" w:lineRule="auto"/>
        <w:jc w:val="both"/>
        <w:rPr>
          <w:rFonts w:cstheme="minorHAnsi"/>
        </w:rPr>
      </w:pPr>
    </w:p>
    <w:p w14:paraId="0D4BC72E" w14:textId="77777777" w:rsidR="009E0AC6" w:rsidRDefault="009E0AC6" w:rsidP="009E0AC6">
      <w:pPr>
        <w:spacing w:after="0" w:line="360" w:lineRule="auto"/>
        <w:jc w:val="both"/>
        <w:rPr>
          <w:rFonts w:cstheme="minorHAnsi"/>
        </w:rPr>
      </w:pPr>
    </w:p>
    <w:p w14:paraId="2F24EFC7" w14:textId="77777777" w:rsidR="009E0AC6" w:rsidRPr="008B758B" w:rsidRDefault="009E0AC6" w:rsidP="009E0AC6">
      <w:pPr>
        <w:spacing w:after="0"/>
        <w:jc w:val="both"/>
        <w:rPr>
          <w:rFonts w:cstheme="minorHAnsi"/>
        </w:rPr>
      </w:pPr>
    </w:p>
    <w:p w14:paraId="370F6462" w14:textId="77777777" w:rsidR="009E0AC6" w:rsidRPr="008B758B" w:rsidRDefault="009E0AC6" w:rsidP="009E0AC6">
      <w:pPr>
        <w:spacing w:after="0"/>
        <w:jc w:val="both"/>
        <w:rPr>
          <w:rFonts w:cstheme="minorHAnsi"/>
        </w:rPr>
      </w:pPr>
    </w:p>
    <w:p w14:paraId="648ADB31" w14:textId="77777777" w:rsidR="009E0AC6" w:rsidRPr="008B758B" w:rsidRDefault="009E0AC6" w:rsidP="009E0AC6">
      <w:pPr>
        <w:spacing w:after="0"/>
        <w:jc w:val="both"/>
        <w:rPr>
          <w:rFonts w:cstheme="minorHAnsi"/>
        </w:rPr>
        <w:sectPr w:rsidR="009E0AC6" w:rsidRPr="008B758B" w:rsidSect="00B01A6F"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371570BA" w14:textId="363C31B1" w:rsidR="009E0AC6" w:rsidRPr="00ED34D5" w:rsidRDefault="009E0AC6" w:rsidP="009E0AC6">
      <w:pPr>
        <w:spacing w:after="0" w:line="240" w:lineRule="auto"/>
        <w:jc w:val="center"/>
        <w:rPr>
          <w:rFonts w:ascii="Arial Rounded MT Bold" w:hAnsi="Arial Rounded MT Bold" w:cstheme="minorHAnsi"/>
          <w:color w:val="385623" w:themeColor="accent6" w:themeShade="80"/>
          <w:sz w:val="20"/>
          <w:szCs w:val="20"/>
        </w:rPr>
      </w:pPr>
      <w:r w:rsidRPr="00ED34D5">
        <w:rPr>
          <w:rFonts w:ascii="Arial Rounded MT Bold" w:hAnsi="Arial Rounded MT Bold" w:cstheme="minorHAnsi"/>
          <w:b/>
          <w:color w:val="385623" w:themeColor="accent6" w:themeShade="80"/>
          <w:sz w:val="32"/>
          <w:szCs w:val="20"/>
        </w:rPr>
        <w:t>Informe de cumplimiento del Programa Anual de Desarrollo Archivístico 202</w:t>
      </w:r>
      <w:r w:rsidR="00DB5AD0">
        <w:rPr>
          <w:rFonts w:ascii="Arial Rounded MT Bold" w:hAnsi="Arial Rounded MT Bold" w:cstheme="minorHAnsi"/>
          <w:b/>
          <w:color w:val="385623" w:themeColor="accent6" w:themeShade="80"/>
          <w:sz w:val="32"/>
          <w:szCs w:val="20"/>
        </w:rPr>
        <w:t>4</w:t>
      </w:r>
    </w:p>
    <w:p w14:paraId="4C9251E2" w14:textId="77777777" w:rsidR="009E0AC6" w:rsidRDefault="009E0AC6" w:rsidP="009E0AC6">
      <w:pPr>
        <w:spacing w:after="0" w:line="264" w:lineRule="auto"/>
        <w:jc w:val="both"/>
        <w:rPr>
          <w:rFonts w:cstheme="minorHAnsi"/>
        </w:rPr>
      </w:pPr>
    </w:p>
    <w:p w14:paraId="7C94F3A5" w14:textId="77777777" w:rsidR="009E0AC6" w:rsidRDefault="009E0AC6" w:rsidP="009E0AC6">
      <w:pPr>
        <w:spacing w:after="0" w:line="264" w:lineRule="auto"/>
        <w:jc w:val="both"/>
        <w:rPr>
          <w:rFonts w:cstheme="minorHAnsi"/>
        </w:rPr>
      </w:pPr>
    </w:p>
    <w:p w14:paraId="33CB4549" w14:textId="77777777" w:rsidR="005645F2" w:rsidRDefault="005645F2" w:rsidP="009E0AC6">
      <w:pPr>
        <w:spacing w:after="0"/>
        <w:jc w:val="both"/>
        <w:rPr>
          <w:rFonts w:cstheme="minorHAnsi"/>
          <w:bCs/>
        </w:rPr>
      </w:pPr>
    </w:p>
    <w:p w14:paraId="487CAFEB" w14:textId="02CDC28C" w:rsidR="00BC3ACF" w:rsidRPr="00ED34D5" w:rsidRDefault="00F2031A" w:rsidP="009E0AC6">
      <w:pPr>
        <w:spacing w:after="0"/>
        <w:jc w:val="both"/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</w:rPr>
      </w:pPr>
      <w:r w:rsidRPr="00ED34D5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Línea estratégica 1.- Desarrollo de la Gestión Documental.</w:t>
      </w:r>
    </w:p>
    <w:p w14:paraId="28D97FAC" w14:textId="5BEC1F10" w:rsidR="00E563E2" w:rsidRDefault="00E563E2" w:rsidP="009E0AC6">
      <w:pPr>
        <w:spacing w:after="0"/>
        <w:jc w:val="both"/>
        <w:rPr>
          <w:rFonts w:cstheme="minorHAnsi"/>
          <w:bCs/>
        </w:rPr>
      </w:pPr>
      <w:r w:rsidRPr="00E563E2">
        <w:rPr>
          <w:rFonts w:cstheme="minorHAnsi"/>
          <w:b/>
          <w:bCs/>
          <w:lang w:val="es-MX"/>
        </w:rPr>
        <w:t>Objetivo</w:t>
      </w:r>
      <w:r w:rsidRPr="008B758B">
        <w:rPr>
          <w:rFonts w:cstheme="minorHAnsi"/>
          <w:lang w:val="es-MX"/>
        </w:rPr>
        <w:t>: Impulsar el manejo uniforme e integral de la gestión documental en las unidades administrativas que conforman el Tribunal de Justicia Administrati</w:t>
      </w:r>
      <w:r>
        <w:rPr>
          <w:rFonts w:cstheme="minorHAnsi"/>
          <w:lang w:val="es-MX"/>
        </w:rPr>
        <w:t>va</w:t>
      </w:r>
      <w:r w:rsidR="001B13E8">
        <w:rPr>
          <w:rFonts w:cstheme="minorHAnsi"/>
          <w:lang w:val="es-MX"/>
        </w:rPr>
        <w:t>.</w:t>
      </w:r>
    </w:p>
    <w:p w14:paraId="73B525AA" w14:textId="0772EC76" w:rsidR="00F96DAC" w:rsidRDefault="00F96DAC" w:rsidP="009E0AC6">
      <w:pPr>
        <w:spacing w:after="0"/>
        <w:jc w:val="both"/>
        <w:rPr>
          <w:rFonts w:cstheme="minorHAnsi"/>
          <w:b/>
        </w:rPr>
      </w:pPr>
    </w:p>
    <w:p w14:paraId="611CF95E" w14:textId="1D7B5B6B" w:rsidR="00272441" w:rsidRDefault="00E563E2" w:rsidP="009E0AC6">
      <w:pPr>
        <w:spacing w:after="0"/>
        <w:jc w:val="both"/>
        <w:rPr>
          <w:rFonts w:cstheme="minorHAnsi"/>
          <w:bCs/>
        </w:rPr>
      </w:pPr>
      <w:r w:rsidRPr="00272441">
        <w:rPr>
          <w:rFonts w:cstheme="minorHAnsi"/>
          <w:b/>
        </w:rPr>
        <w:t>Meta 1</w:t>
      </w:r>
      <w:r w:rsidRPr="00E563E2">
        <w:rPr>
          <w:rFonts w:cstheme="minorHAnsi"/>
          <w:bCs/>
        </w:rPr>
        <w:t xml:space="preserve">.- </w:t>
      </w:r>
      <w:r w:rsidR="00E17CD0" w:rsidRPr="00E17CD0">
        <w:rPr>
          <w:rFonts w:cstheme="minorHAnsi"/>
          <w:bCs/>
        </w:rPr>
        <w:t>Realizar visitas a las unidades administrativas para identificar los documentos de archivo electrónicos producidos y dar seguimiento al cumplimiento de las obligaciones en materia de archivos</w:t>
      </w:r>
      <w:r w:rsidR="00E17CD0">
        <w:rPr>
          <w:rFonts w:cstheme="minorHAnsi"/>
          <w:bCs/>
        </w:rPr>
        <w:t>.</w:t>
      </w:r>
    </w:p>
    <w:p w14:paraId="04EDFF96" w14:textId="1EE7D8DE" w:rsidR="00E563E2" w:rsidRPr="00272441" w:rsidRDefault="00272441" w:rsidP="002A2160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 xml:space="preserve">Porcentaje de cumplimiento: 100% </w:t>
      </w:r>
    </w:p>
    <w:p w14:paraId="640F8D8E" w14:textId="77777777" w:rsidR="00272441" w:rsidRDefault="00272441" w:rsidP="009E0AC6">
      <w:pPr>
        <w:spacing w:after="0"/>
        <w:jc w:val="both"/>
        <w:rPr>
          <w:rFonts w:cstheme="minorHAnsi"/>
          <w:bCs/>
        </w:rPr>
      </w:pPr>
    </w:p>
    <w:p w14:paraId="48AC364F" w14:textId="7888F6F5" w:rsidR="009E0AC6" w:rsidRPr="00BC6510" w:rsidRDefault="003052F8" w:rsidP="00272441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Se</w:t>
      </w:r>
      <w:r w:rsidR="009E0AC6" w:rsidRPr="00BC6510">
        <w:rPr>
          <w:rFonts w:cstheme="minorHAnsi"/>
          <w:bCs/>
        </w:rPr>
        <w:t xml:space="preserve"> llevaron a cabo </w:t>
      </w:r>
      <w:r w:rsidR="00FB74B9">
        <w:rPr>
          <w:rFonts w:cstheme="minorHAnsi"/>
          <w:bCs/>
        </w:rPr>
        <w:t>15</w:t>
      </w:r>
      <w:r w:rsidR="009E0AC6" w:rsidRPr="00BC6510">
        <w:rPr>
          <w:rFonts w:cstheme="minorHAnsi"/>
          <w:bCs/>
        </w:rPr>
        <w:t xml:space="preserve"> visitas a las unidades administrativas y jurisdiccionales que integran el Tribunal, </w:t>
      </w:r>
      <w:r w:rsidR="0072639A">
        <w:rPr>
          <w:rFonts w:cstheme="minorHAnsi"/>
          <w:bCs/>
        </w:rPr>
        <w:t>en las que se re</w:t>
      </w:r>
      <w:r w:rsidR="009E0AC6" w:rsidRPr="00BC6510">
        <w:rPr>
          <w:rFonts w:cstheme="minorHAnsi"/>
          <w:bCs/>
        </w:rPr>
        <w:t>vis</w:t>
      </w:r>
      <w:r w:rsidR="0072639A">
        <w:rPr>
          <w:rFonts w:cstheme="minorHAnsi"/>
          <w:bCs/>
        </w:rPr>
        <w:t>ó</w:t>
      </w:r>
      <w:r w:rsidR="009E0AC6" w:rsidRPr="00BC6510">
        <w:rPr>
          <w:rFonts w:cstheme="minorHAnsi"/>
          <w:bCs/>
        </w:rPr>
        <w:t xml:space="preserve"> lo siguiente:</w:t>
      </w:r>
    </w:p>
    <w:p w14:paraId="11AC482C" w14:textId="169A86C3" w:rsidR="009E0AC6" w:rsidRPr="00F96DAC" w:rsidRDefault="009E0AC6" w:rsidP="00F96DAC">
      <w:pPr>
        <w:pStyle w:val="ListParagraph"/>
        <w:numPr>
          <w:ilvl w:val="0"/>
          <w:numId w:val="2"/>
        </w:numPr>
        <w:spacing w:after="0"/>
        <w:ind w:right="758"/>
        <w:jc w:val="both"/>
        <w:rPr>
          <w:rFonts w:cstheme="minorHAnsi"/>
          <w:bCs/>
        </w:rPr>
      </w:pPr>
      <w:r w:rsidRPr="00F96DAC">
        <w:rPr>
          <w:rFonts w:cstheme="minorHAnsi"/>
          <w:bCs/>
        </w:rPr>
        <w:t>Organización del archivo de trámite</w:t>
      </w:r>
      <w:r w:rsidR="00E1551D">
        <w:rPr>
          <w:rFonts w:cstheme="minorHAnsi"/>
          <w:bCs/>
        </w:rPr>
        <w:t xml:space="preserve"> -</w:t>
      </w:r>
      <w:r w:rsidRPr="00F96DAC">
        <w:rPr>
          <w:rFonts w:cstheme="minorHAnsi"/>
          <w:bCs/>
        </w:rPr>
        <w:t>integración de expediente, clave de clasificación, llenado de portadas en formato físico y electrónico, llenado del inventario general, identificación de mobiliario y resguardo de expedientes</w:t>
      </w:r>
      <w:r w:rsidR="00E1551D">
        <w:rPr>
          <w:rFonts w:cstheme="minorHAnsi"/>
          <w:bCs/>
        </w:rPr>
        <w:t>-</w:t>
      </w:r>
      <w:r w:rsidRPr="00F96DAC">
        <w:rPr>
          <w:rFonts w:cstheme="minorHAnsi"/>
          <w:bCs/>
        </w:rPr>
        <w:t xml:space="preserve">. </w:t>
      </w:r>
    </w:p>
    <w:p w14:paraId="195980CD" w14:textId="47B6A1BC" w:rsidR="009E0AC6" w:rsidRPr="00F96DAC" w:rsidRDefault="009E0AC6" w:rsidP="00F96DAC">
      <w:pPr>
        <w:pStyle w:val="ListParagraph"/>
        <w:numPr>
          <w:ilvl w:val="0"/>
          <w:numId w:val="2"/>
        </w:numPr>
        <w:spacing w:after="0"/>
        <w:ind w:right="758"/>
        <w:jc w:val="both"/>
        <w:rPr>
          <w:rFonts w:cstheme="minorHAnsi"/>
          <w:bCs/>
        </w:rPr>
      </w:pPr>
      <w:r w:rsidRPr="00F96DAC">
        <w:rPr>
          <w:rFonts w:cstheme="minorHAnsi"/>
          <w:bCs/>
        </w:rPr>
        <w:t>Particularidades del acervo de la unidad administrativa.</w:t>
      </w:r>
    </w:p>
    <w:p w14:paraId="19AEF086" w14:textId="6089FA9B" w:rsidR="009E0AC6" w:rsidRPr="00F96DAC" w:rsidRDefault="00024736" w:rsidP="00F96DAC">
      <w:pPr>
        <w:pStyle w:val="ListParagraph"/>
        <w:numPr>
          <w:ilvl w:val="0"/>
          <w:numId w:val="2"/>
        </w:numPr>
        <w:spacing w:after="0"/>
        <w:ind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Cumplimiento</w:t>
      </w:r>
      <w:r w:rsidR="009E0AC6" w:rsidRPr="00F96DAC">
        <w:rPr>
          <w:rFonts w:cstheme="minorHAnsi"/>
          <w:bCs/>
        </w:rPr>
        <w:t xml:space="preserve"> de compromisos para la organización y transferencia primaria de los expedientes concluidos resguardados en el archivo de trámite y que previamente fueron identificados.</w:t>
      </w:r>
    </w:p>
    <w:p w14:paraId="7F92BC0F" w14:textId="77777777" w:rsidR="00DF0A28" w:rsidRDefault="00DF0A28" w:rsidP="00272441">
      <w:pPr>
        <w:spacing w:after="0"/>
        <w:ind w:left="567" w:right="758"/>
        <w:jc w:val="both"/>
        <w:rPr>
          <w:rFonts w:cstheme="minorHAnsi"/>
          <w:bCs/>
        </w:rPr>
      </w:pPr>
    </w:p>
    <w:p w14:paraId="674DF30F" w14:textId="7F9AF09F" w:rsidR="009E0AC6" w:rsidRDefault="009E0AC6" w:rsidP="00272441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 cada una de las visitas se elaboró una minuta en la cual se plasmaron las observaciones, recomendaciones y los compromisos pactados </w:t>
      </w:r>
      <w:r w:rsidR="00606672">
        <w:rPr>
          <w:rFonts w:cstheme="minorHAnsi"/>
          <w:bCs/>
        </w:rPr>
        <w:t>con</w:t>
      </w:r>
      <w:r>
        <w:rPr>
          <w:rFonts w:cstheme="minorHAnsi"/>
          <w:bCs/>
        </w:rPr>
        <w:t xml:space="preserve"> cada área, </w:t>
      </w:r>
      <w:r w:rsidR="00AE7767">
        <w:rPr>
          <w:rFonts w:cstheme="minorHAnsi"/>
          <w:bCs/>
        </w:rPr>
        <w:t>la cual</w:t>
      </w:r>
      <w:r w:rsidR="004F00E1">
        <w:rPr>
          <w:rFonts w:cstheme="minorHAnsi"/>
          <w:bCs/>
        </w:rPr>
        <w:t xml:space="preserve"> fue entregada </w:t>
      </w:r>
      <w:r w:rsidR="008A0677">
        <w:rPr>
          <w:rFonts w:cstheme="minorHAnsi"/>
          <w:bCs/>
        </w:rPr>
        <w:t>a</w:t>
      </w:r>
      <w:r>
        <w:rPr>
          <w:rFonts w:cstheme="minorHAnsi"/>
          <w:bCs/>
        </w:rPr>
        <w:t>l titular de ca</w:t>
      </w:r>
      <w:r w:rsidR="00304575">
        <w:rPr>
          <w:rFonts w:cstheme="minorHAnsi"/>
          <w:bCs/>
        </w:rPr>
        <w:t>da</w:t>
      </w:r>
      <w:r>
        <w:rPr>
          <w:rFonts w:cstheme="minorHAnsi"/>
          <w:bCs/>
        </w:rPr>
        <w:t xml:space="preserve"> unidad administrativa y jurisdiccional.</w:t>
      </w:r>
    </w:p>
    <w:p w14:paraId="3CF72B3D" w14:textId="242353F3" w:rsidR="007D0D4F" w:rsidRDefault="007D0D4F" w:rsidP="00272441">
      <w:pPr>
        <w:spacing w:after="0"/>
        <w:ind w:left="567" w:right="758"/>
        <w:jc w:val="both"/>
        <w:rPr>
          <w:rFonts w:cstheme="minorHAnsi"/>
          <w:bCs/>
        </w:rPr>
      </w:pPr>
    </w:p>
    <w:p w14:paraId="29A856E3" w14:textId="60B767BE" w:rsidR="007D0D4F" w:rsidRDefault="007D0D4F" w:rsidP="00272441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Además, se acudió a cada una de las</w:t>
      </w:r>
      <w:r w:rsidR="00916AB6">
        <w:rPr>
          <w:rFonts w:cstheme="minorHAnsi"/>
          <w:bCs/>
        </w:rPr>
        <w:t xml:space="preserve"> áreas administrativas y jurisdiccionales a fin de llevar cabo el levantamiento de información para realizar el Inventario de activos digitales.</w:t>
      </w:r>
    </w:p>
    <w:p w14:paraId="7367D5BB" w14:textId="77777777" w:rsidR="00DF0A28" w:rsidRDefault="00DF0A28" w:rsidP="00272441">
      <w:pPr>
        <w:spacing w:after="0"/>
        <w:ind w:left="567" w:right="758"/>
        <w:jc w:val="both"/>
        <w:rPr>
          <w:rFonts w:cstheme="minorHAnsi"/>
          <w:bCs/>
        </w:rPr>
      </w:pPr>
    </w:p>
    <w:p w14:paraId="3BBBDF37" w14:textId="4F600084" w:rsidR="00DD553E" w:rsidRDefault="006B2EC9" w:rsidP="00EB7C2C">
      <w:pPr>
        <w:spacing w:after="0"/>
        <w:jc w:val="both"/>
        <w:rPr>
          <w:rFonts w:cstheme="minorHAnsi"/>
          <w:bCs/>
        </w:rPr>
      </w:pPr>
      <w:r w:rsidRPr="006B2EC9">
        <w:rPr>
          <w:rFonts w:cstheme="minorHAnsi"/>
          <w:b/>
        </w:rPr>
        <w:t>Meta 2</w:t>
      </w:r>
      <w:r w:rsidRPr="00BE659C">
        <w:rPr>
          <w:rFonts w:cstheme="minorHAnsi"/>
          <w:b/>
        </w:rPr>
        <w:t>:</w:t>
      </w:r>
      <w:r w:rsidR="00BE659C" w:rsidRPr="00BE659C">
        <w:rPr>
          <w:rFonts w:cstheme="minorHAnsi"/>
          <w:b/>
        </w:rPr>
        <w:t xml:space="preserve"> </w:t>
      </w:r>
      <w:r w:rsidR="00BE659C" w:rsidRPr="006770E4">
        <w:rPr>
          <w:rFonts w:cstheme="minorHAnsi"/>
          <w:bCs/>
        </w:rPr>
        <w:t>Dar seguimiento al proyecto de organización del acervo documental del Archivo de Concentración</w:t>
      </w:r>
      <w:r w:rsidR="007A21EF" w:rsidRPr="006770E4">
        <w:rPr>
          <w:rFonts w:cstheme="minorHAnsi"/>
          <w:bCs/>
        </w:rPr>
        <w:t>.</w:t>
      </w:r>
      <w:r w:rsidR="007A21EF">
        <w:rPr>
          <w:rFonts w:cstheme="minorHAnsi"/>
          <w:bCs/>
        </w:rPr>
        <w:t xml:space="preserve"> </w:t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1644E5" w:rsidRPr="00272441">
        <w:rPr>
          <w:rFonts w:cstheme="minorHAnsi"/>
          <w:b/>
        </w:rPr>
        <w:t xml:space="preserve">Porcentaje de cumplimiento: </w:t>
      </w:r>
      <w:r w:rsidR="00CA0D62">
        <w:rPr>
          <w:rFonts w:cstheme="minorHAnsi"/>
          <w:b/>
        </w:rPr>
        <w:t>10</w:t>
      </w:r>
      <w:r w:rsidR="001644E5" w:rsidRPr="00272441">
        <w:rPr>
          <w:rFonts w:cstheme="minorHAnsi"/>
          <w:b/>
        </w:rPr>
        <w:t>0%</w:t>
      </w:r>
    </w:p>
    <w:p w14:paraId="799DDC2E" w14:textId="77777777" w:rsidR="001475F8" w:rsidRDefault="001475F8" w:rsidP="00674AF5">
      <w:pPr>
        <w:spacing w:after="0"/>
        <w:ind w:right="758"/>
        <w:jc w:val="both"/>
        <w:rPr>
          <w:rFonts w:cstheme="minorHAnsi"/>
          <w:bCs/>
        </w:rPr>
      </w:pPr>
    </w:p>
    <w:p w14:paraId="797018D4" w14:textId="77777777" w:rsidR="00BE2068" w:rsidRDefault="00BE2068" w:rsidP="005C2ABD">
      <w:pPr>
        <w:spacing w:after="0"/>
        <w:ind w:left="567" w:right="758"/>
        <w:jc w:val="both"/>
        <w:rPr>
          <w:rFonts w:cstheme="minorHAnsi"/>
          <w:bCs/>
        </w:rPr>
      </w:pPr>
    </w:p>
    <w:p w14:paraId="4CFF1D33" w14:textId="5455506D" w:rsidR="004B6227" w:rsidRDefault="0039182C" w:rsidP="00655B15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Como parte de las acciones encaminadas a organizar el acervo documental del Archivo de Concentración</w:t>
      </w:r>
      <w:r w:rsidR="00520BE7">
        <w:rPr>
          <w:rFonts w:cstheme="minorHAnsi"/>
          <w:bCs/>
        </w:rPr>
        <w:t>, s</w:t>
      </w:r>
      <w:r w:rsidR="004F45F8">
        <w:rPr>
          <w:rFonts w:cstheme="minorHAnsi"/>
          <w:bCs/>
        </w:rPr>
        <w:t>e dio seguimiento el proyecto de organización elaborado en la anualidad pasada</w:t>
      </w:r>
      <w:r w:rsidR="00073D79">
        <w:rPr>
          <w:rFonts w:cstheme="minorHAnsi"/>
          <w:bCs/>
        </w:rPr>
        <w:t>, para lo cual se seleccionar</w:t>
      </w:r>
      <w:r w:rsidR="0063356B">
        <w:rPr>
          <w:rFonts w:cstheme="minorHAnsi"/>
          <w:bCs/>
        </w:rPr>
        <w:t>on</w:t>
      </w:r>
      <w:r w:rsidR="00073D79">
        <w:rPr>
          <w:rFonts w:cstheme="minorHAnsi"/>
          <w:bCs/>
        </w:rPr>
        <w:t xml:space="preserve"> 3 cajas de la Dirección Administrativa, 4 cajas de la Unidad de Defensoría de Oficio y 3 cajas de la Secretaría General de Acuerdo</w:t>
      </w:r>
      <w:r w:rsidR="0063356B">
        <w:rPr>
          <w:rFonts w:cstheme="minorHAnsi"/>
          <w:bCs/>
        </w:rPr>
        <w:t>s</w:t>
      </w:r>
      <w:r w:rsidR="00116014">
        <w:rPr>
          <w:rFonts w:cstheme="minorHAnsi"/>
          <w:bCs/>
        </w:rPr>
        <w:t xml:space="preserve">, en las que era </w:t>
      </w:r>
      <w:r w:rsidR="0046750F">
        <w:rPr>
          <w:rFonts w:cstheme="minorHAnsi"/>
          <w:bCs/>
        </w:rPr>
        <w:t>necesario estabilizar los expedientes, esto es, retirar grapas, clips y cualquier otro objeto metálico y plástico que afecte su conservación.</w:t>
      </w:r>
      <w:r w:rsidR="00481DF4">
        <w:rPr>
          <w:rFonts w:cstheme="minorHAnsi"/>
          <w:bCs/>
        </w:rPr>
        <w:t xml:space="preserve"> De igual forma se elaboraron y colocaron portadas en cada uno de estos expedientes, para posteriormente integrarlos y coserlos, manteniendo el orden original de los mismos.</w:t>
      </w:r>
      <w:r w:rsidR="00DF3037">
        <w:rPr>
          <w:rFonts w:cstheme="minorHAnsi"/>
          <w:bCs/>
        </w:rPr>
        <w:t xml:space="preserve"> Estos expedientes fueron colocados en folders </w:t>
      </w:r>
      <w:r w:rsidR="006E315D">
        <w:rPr>
          <w:rFonts w:cstheme="minorHAnsi"/>
          <w:bCs/>
        </w:rPr>
        <w:t>dentro de</w:t>
      </w:r>
      <w:r w:rsidR="00DF3037">
        <w:rPr>
          <w:rFonts w:cstheme="minorHAnsi"/>
          <w:bCs/>
        </w:rPr>
        <w:t xml:space="preserve"> cajas de cartón </w:t>
      </w:r>
      <w:r w:rsidR="00BF0EB9">
        <w:rPr>
          <w:rFonts w:cstheme="minorHAnsi"/>
          <w:bCs/>
        </w:rPr>
        <w:t>corrugado de uso archivístico.</w:t>
      </w:r>
    </w:p>
    <w:p w14:paraId="5E5ED7C3" w14:textId="77777777" w:rsidR="001436E5" w:rsidRDefault="001436E5" w:rsidP="00655B15">
      <w:pPr>
        <w:spacing w:after="0"/>
        <w:ind w:left="567" w:right="758"/>
        <w:jc w:val="both"/>
        <w:rPr>
          <w:rFonts w:cstheme="minorHAnsi"/>
          <w:bCs/>
        </w:rPr>
      </w:pPr>
    </w:p>
    <w:p w14:paraId="3F5891DB" w14:textId="747D80C3" w:rsidR="001436E5" w:rsidRDefault="001436E5" w:rsidP="00655B15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Llevar a cabo estas acciones nos permitió </w:t>
      </w:r>
      <w:r w:rsidR="00841EEE">
        <w:rPr>
          <w:rFonts w:cstheme="minorHAnsi"/>
          <w:bCs/>
        </w:rPr>
        <w:t xml:space="preserve">identificar el contenido de los expedientes, con lo que pudimos </w:t>
      </w:r>
      <w:r w:rsidR="004758A1">
        <w:rPr>
          <w:rFonts w:cstheme="minorHAnsi"/>
          <w:bCs/>
        </w:rPr>
        <w:t>elaborar tres inventarios documentales</w:t>
      </w:r>
      <w:r w:rsidR="008F53EB">
        <w:rPr>
          <w:rFonts w:cstheme="minorHAnsi"/>
          <w:bCs/>
        </w:rPr>
        <w:t xml:space="preserve">. </w:t>
      </w:r>
      <w:r w:rsidR="009A2F16">
        <w:rPr>
          <w:rFonts w:cstheme="minorHAnsi"/>
          <w:bCs/>
        </w:rPr>
        <w:t>Asimismo,</w:t>
      </w:r>
      <w:r w:rsidR="008F53EB">
        <w:rPr>
          <w:rFonts w:cstheme="minorHAnsi"/>
          <w:bCs/>
        </w:rPr>
        <w:t xml:space="preserve"> se pudo elaborar una prevaloración de los expedientes </w:t>
      </w:r>
      <w:r w:rsidR="00254669">
        <w:rPr>
          <w:rFonts w:cstheme="minorHAnsi"/>
          <w:bCs/>
        </w:rPr>
        <w:t>para identificar sus tipos d</w:t>
      </w:r>
      <w:r w:rsidR="00C658AB">
        <w:rPr>
          <w:rFonts w:cstheme="minorHAnsi"/>
          <w:bCs/>
        </w:rPr>
        <w:t>ocumentales</w:t>
      </w:r>
      <w:r w:rsidR="007518F1">
        <w:rPr>
          <w:rFonts w:cstheme="minorHAnsi"/>
          <w:bCs/>
        </w:rPr>
        <w:t xml:space="preserve"> y realizar una equivalencia con las series documentales vigentes, </w:t>
      </w:r>
      <w:r w:rsidR="001029FD">
        <w:rPr>
          <w:rFonts w:cstheme="minorHAnsi"/>
          <w:bCs/>
        </w:rPr>
        <w:t>con el</w:t>
      </w:r>
      <w:r w:rsidR="007518F1">
        <w:rPr>
          <w:rFonts w:cstheme="minorHAnsi"/>
          <w:bCs/>
        </w:rPr>
        <w:t xml:space="preserve"> objeto de identificar </w:t>
      </w:r>
      <w:r w:rsidR="000E17D5">
        <w:rPr>
          <w:rFonts w:cstheme="minorHAnsi"/>
          <w:bCs/>
        </w:rPr>
        <w:t>valores, plazos de conservación y vigencias documentales.</w:t>
      </w:r>
    </w:p>
    <w:p w14:paraId="44D8E45A" w14:textId="77777777" w:rsidR="00511CDB" w:rsidRDefault="00511CDB" w:rsidP="00655B15">
      <w:pPr>
        <w:spacing w:after="0"/>
        <w:ind w:left="567" w:right="758"/>
        <w:jc w:val="both"/>
        <w:rPr>
          <w:rFonts w:cstheme="minorHAnsi"/>
          <w:bCs/>
        </w:rPr>
      </w:pPr>
    </w:p>
    <w:p w14:paraId="0720DED9" w14:textId="20559DC4" w:rsidR="00DA26F9" w:rsidRDefault="009F650E" w:rsidP="009A2F16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Es necesario llevar a cabo estas actividades para </w:t>
      </w:r>
      <w:r w:rsidR="00E50112">
        <w:rPr>
          <w:rFonts w:cstheme="minorHAnsi"/>
          <w:bCs/>
        </w:rPr>
        <w:t xml:space="preserve">definir la disposición documental de los expedientes, y así </w:t>
      </w:r>
      <w:r>
        <w:rPr>
          <w:rFonts w:cstheme="minorHAnsi"/>
          <w:bCs/>
        </w:rPr>
        <w:t xml:space="preserve">garantizar </w:t>
      </w:r>
      <w:r w:rsidR="00E50112">
        <w:rPr>
          <w:rFonts w:cstheme="minorHAnsi"/>
          <w:bCs/>
        </w:rPr>
        <w:t>que se cumpla el ciclo vital de los expedientes.</w:t>
      </w:r>
    </w:p>
    <w:p w14:paraId="4BDAAB97" w14:textId="77777777" w:rsidR="00A82DA9" w:rsidRDefault="00A82DA9" w:rsidP="009A2F16">
      <w:pPr>
        <w:spacing w:after="0"/>
        <w:ind w:left="567" w:right="758"/>
        <w:jc w:val="both"/>
        <w:rPr>
          <w:rFonts w:cstheme="minorHAnsi"/>
          <w:bCs/>
        </w:rPr>
      </w:pPr>
    </w:p>
    <w:p w14:paraId="2B9AAE19" w14:textId="0937DA75" w:rsidR="00D65B56" w:rsidRDefault="00D65B56" w:rsidP="009A2F16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Respecto al avance general del proyecto</w:t>
      </w:r>
      <w:r w:rsidR="00481402">
        <w:rPr>
          <w:rFonts w:cstheme="minorHAnsi"/>
          <w:bCs/>
        </w:rPr>
        <w:t xml:space="preserve"> d</w:t>
      </w:r>
      <w:r w:rsidR="00E402C4">
        <w:rPr>
          <w:rFonts w:cstheme="minorHAnsi"/>
          <w:bCs/>
        </w:rPr>
        <w:t>e</w:t>
      </w:r>
      <w:r w:rsidR="00481402">
        <w:rPr>
          <w:rFonts w:cstheme="minorHAnsi"/>
          <w:bCs/>
        </w:rPr>
        <w:t xml:space="preserve"> organización del acervo del Archivo de Concentración, se presenta los siguientes resultados logrados en este año:</w:t>
      </w:r>
    </w:p>
    <w:p w14:paraId="40213121" w14:textId="77777777" w:rsidR="00481402" w:rsidRDefault="00481402" w:rsidP="009A2F16">
      <w:pPr>
        <w:spacing w:after="0"/>
        <w:ind w:left="567" w:right="758"/>
        <w:jc w:val="both"/>
        <w:rPr>
          <w:rFonts w:cstheme="minorHAnsi"/>
          <w:bCs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415"/>
        <w:gridCol w:w="2227"/>
        <w:gridCol w:w="2174"/>
        <w:gridCol w:w="2022"/>
      </w:tblGrid>
      <w:tr w:rsidR="002328D4" w14:paraId="6EB1EFC3" w14:textId="77777777" w:rsidTr="00D84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5" w:type="dxa"/>
            <w:vAlign w:val="center"/>
          </w:tcPr>
          <w:p w14:paraId="5996BA3A" w14:textId="1F0A2737" w:rsidR="00481402" w:rsidRPr="00684A6C" w:rsidRDefault="00481402" w:rsidP="00D84B0B">
            <w:pPr>
              <w:spacing w:after="0"/>
              <w:ind w:right="758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684A6C">
              <w:rPr>
                <w:rFonts w:cstheme="minorHAnsi"/>
                <w:bCs/>
                <w:sz w:val="24"/>
                <w:szCs w:val="20"/>
              </w:rPr>
              <w:t>Área</w:t>
            </w:r>
          </w:p>
        </w:tc>
        <w:tc>
          <w:tcPr>
            <w:tcW w:w="2227" w:type="dxa"/>
          </w:tcPr>
          <w:p w14:paraId="067332F1" w14:textId="49BC5B1B" w:rsidR="00481402" w:rsidRPr="00684A6C" w:rsidRDefault="00481402" w:rsidP="004A7334">
            <w:pPr>
              <w:spacing w:after="0"/>
              <w:ind w:right="7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0"/>
              </w:rPr>
            </w:pPr>
            <w:r w:rsidRPr="00684A6C">
              <w:rPr>
                <w:rFonts w:cstheme="minorHAnsi"/>
                <w:bCs/>
                <w:sz w:val="24"/>
                <w:szCs w:val="20"/>
              </w:rPr>
              <w:t>Número de cajas identificadas</w:t>
            </w:r>
          </w:p>
        </w:tc>
        <w:tc>
          <w:tcPr>
            <w:tcW w:w="2174" w:type="dxa"/>
          </w:tcPr>
          <w:p w14:paraId="0C76024C" w14:textId="36D7050B" w:rsidR="00481402" w:rsidRPr="00684A6C" w:rsidRDefault="00481402" w:rsidP="004A7334">
            <w:pPr>
              <w:spacing w:after="0"/>
              <w:ind w:right="7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0"/>
              </w:rPr>
            </w:pPr>
            <w:r w:rsidRPr="00684A6C">
              <w:rPr>
                <w:rFonts w:cstheme="minorHAnsi"/>
                <w:bCs/>
                <w:sz w:val="24"/>
                <w:szCs w:val="20"/>
              </w:rPr>
              <w:t xml:space="preserve">Número de cajas </w:t>
            </w:r>
            <w:r w:rsidR="00C82A96" w:rsidRPr="00684A6C">
              <w:rPr>
                <w:rFonts w:cstheme="minorHAnsi"/>
                <w:bCs/>
                <w:sz w:val="24"/>
                <w:szCs w:val="20"/>
              </w:rPr>
              <w:t>organizadas</w:t>
            </w:r>
          </w:p>
        </w:tc>
        <w:tc>
          <w:tcPr>
            <w:tcW w:w="2022" w:type="dxa"/>
          </w:tcPr>
          <w:p w14:paraId="2642E0AC" w14:textId="052AD20C" w:rsidR="00481402" w:rsidRPr="00684A6C" w:rsidRDefault="007610D7" w:rsidP="004A7334">
            <w:pPr>
              <w:spacing w:after="0"/>
              <w:ind w:right="7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0"/>
              </w:rPr>
            </w:pPr>
            <w:r w:rsidRPr="00684A6C">
              <w:rPr>
                <w:rFonts w:cstheme="minorHAnsi"/>
                <w:bCs/>
                <w:sz w:val="24"/>
                <w:szCs w:val="20"/>
              </w:rPr>
              <w:t>Porcen</w:t>
            </w:r>
            <w:r w:rsidR="00A83432" w:rsidRPr="00684A6C">
              <w:rPr>
                <w:rFonts w:cstheme="minorHAnsi"/>
                <w:bCs/>
                <w:sz w:val="24"/>
                <w:szCs w:val="20"/>
              </w:rPr>
              <w:t xml:space="preserve">taje de </w:t>
            </w:r>
            <w:r w:rsidR="000B4032" w:rsidRPr="00684A6C">
              <w:rPr>
                <w:rFonts w:cstheme="minorHAnsi"/>
                <w:bCs/>
                <w:sz w:val="24"/>
                <w:szCs w:val="20"/>
              </w:rPr>
              <w:t>avance</w:t>
            </w:r>
          </w:p>
        </w:tc>
      </w:tr>
      <w:tr w:rsidR="00AF2650" w14:paraId="5ED1C3B9" w14:textId="77777777" w:rsidTr="00684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3B47FE68" w14:textId="0A5D92D3" w:rsidR="00481402" w:rsidRPr="00684A6C" w:rsidRDefault="00AF2650" w:rsidP="004A7334">
            <w:pPr>
              <w:spacing w:after="0"/>
              <w:ind w:right="758"/>
              <w:jc w:val="center"/>
              <w:rPr>
                <w:rFonts w:cstheme="minorHAnsi"/>
                <w:bCs/>
                <w:sz w:val="22"/>
              </w:rPr>
            </w:pPr>
            <w:r w:rsidRPr="00684A6C">
              <w:rPr>
                <w:rFonts w:cstheme="minorHAnsi"/>
                <w:bCs/>
                <w:sz w:val="22"/>
              </w:rPr>
              <w:t>Dirección Administrativa</w:t>
            </w:r>
          </w:p>
        </w:tc>
        <w:tc>
          <w:tcPr>
            <w:tcW w:w="2227" w:type="dxa"/>
          </w:tcPr>
          <w:p w14:paraId="53F7AB47" w14:textId="5C05705A" w:rsidR="00481402" w:rsidRDefault="00AF2650" w:rsidP="004A7334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108</w:t>
            </w:r>
          </w:p>
        </w:tc>
        <w:tc>
          <w:tcPr>
            <w:tcW w:w="2174" w:type="dxa"/>
          </w:tcPr>
          <w:p w14:paraId="5F72B847" w14:textId="5C8A0F3F" w:rsidR="00481402" w:rsidRDefault="004A7334" w:rsidP="004A7334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022" w:type="dxa"/>
          </w:tcPr>
          <w:p w14:paraId="4F1474CD" w14:textId="3F0A3AE0" w:rsidR="00481402" w:rsidRDefault="00884436" w:rsidP="0005263C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2.7%</w:t>
            </w:r>
          </w:p>
        </w:tc>
      </w:tr>
      <w:tr w:rsidR="002328D4" w14:paraId="01454553" w14:textId="77777777" w:rsidTr="00684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304E7596" w14:textId="1D5C001E" w:rsidR="00481402" w:rsidRPr="00684A6C" w:rsidRDefault="00AF2650" w:rsidP="004A7334">
            <w:pPr>
              <w:spacing w:after="0"/>
              <w:ind w:right="758"/>
              <w:jc w:val="center"/>
              <w:rPr>
                <w:rFonts w:cstheme="minorHAnsi"/>
                <w:bCs/>
                <w:sz w:val="22"/>
              </w:rPr>
            </w:pPr>
            <w:r w:rsidRPr="00684A6C">
              <w:rPr>
                <w:rFonts w:cstheme="minorHAnsi"/>
                <w:bCs/>
                <w:sz w:val="22"/>
              </w:rPr>
              <w:t>Unidad de la Defensoría de Oficio</w:t>
            </w:r>
          </w:p>
        </w:tc>
        <w:tc>
          <w:tcPr>
            <w:tcW w:w="2227" w:type="dxa"/>
          </w:tcPr>
          <w:p w14:paraId="4D01CC1D" w14:textId="687096D4" w:rsidR="00481402" w:rsidRDefault="00AF2650" w:rsidP="004A7334">
            <w:pPr>
              <w:spacing w:after="0"/>
              <w:ind w:right="7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106</w:t>
            </w:r>
          </w:p>
        </w:tc>
        <w:tc>
          <w:tcPr>
            <w:tcW w:w="2174" w:type="dxa"/>
          </w:tcPr>
          <w:p w14:paraId="59005F75" w14:textId="3777C1EC" w:rsidR="00481402" w:rsidRDefault="004A7334" w:rsidP="004A7334">
            <w:pPr>
              <w:spacing w:after="0"/>
              <w:ind w:right="7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2022" w:type="dxa"/>
          </w:tcPr>
          <w:p w14:paraId="7E5AED0F" w14:textId="6E1BF336" w:rsidR="00481402" w:rsidRDefault="004265D8" w:rsidP="0005263C">
            <w:pPr>
              <w:spacing w:after="0"/>
              <w:ind w:right="7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3.7%</w:t>
            </w:r>
          </w:p>
        </w:tc>
      </w:tr>
      <w:tr w:rsidR="00AF2650" w14:paraId="17D25E64" w14:textId="77777777" w:rsidTr="00684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</w:tcPr>
          <w:p w14:paraId="598131C8" w14:textId="49A9CCD6" w:rsidR="00481402" w:rsidRPr="00684A6C" w:rsidRDefault="00AF2650" w:rsidP="004A7334">
            <w:pPr>
              <w:spacing w:after="0"/>
              <w:ind w:right="758"/>
              <w:jc w:val="center"/>
              <w:rPr>
                <w:rFonts w:cstheme="minorHAnsi"/>
                <w:bCs/>
                <w:sz w:val="22"/>
              </w:rPr>
            </w:pPr>
            <w:r w:rsidRPr="00684A6C">
              <w:rPr>
                <w:rFonts w:cstheme="minorHAnsi"/>
                <w:bCs/>
                <w:sz w:val="22"/>
              </w:rPr>
              <w:t>Secretaría General de Acuerdos</w:t>
            </w:r>
          </w:p>
        </w:tc>
        <w:tc>
          <w:tcPr>
            <w:tcW w:w="2227" w:type="dxa"/>
          </w:tcPr>
          <w:p w14:paraId="4C5F9B13" w14:textId="26E60219" w:rsidR="00481402" w:rsidRDefault="00AF2650" w:rsidP="004A7334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78</w:t>
            </w:r>
          </w:p>
        </w:tc>
        <w:tc>
          <w:tcPr>
            <w:tcW w:w="2174" w:type="dxa"/>
          </w:tcPr>
          <w:p w14:paraId="0ACD0FE8" w14:textId="08575301" w:rsidR="00481402" w:rsidRDefault="004A7334" w:rsidP="004A7334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022" w:type="dxa"/>
          </w:tcPr>
          <w:p w14:paraId="77E7EF40" w14:textId="0F437FF2" w:rsidR="00481402" w:rsidRDefault="0005263C" w:rsidP="0005263C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3.8%</w:t>
            </w:r>
          </w:p>
        </w:tc>
      </w:tr>
    </w:tbl>
    <w:p w14:paraId="00100289" w14:textId="77777777" w:rsidR="00481402" w:rsidRDefault="00481402" w:rsidP="009A2F16">
      <w:pPr>
        <w:spacing w:after="0"/>
        <w:ind w:left="567" w:right="758"/>
        <w:jc w:val="both"/>
        <w:rPr>
          <w:rFonts w:cstheme="minorHAnsi"/>
          <w:bCs/>
        </w:rPr>
      </w:pPr>
    </w:p>
    <w:p w14:paraId="62E611A7" w14:textId="77777777" w:rsidR="001E622C" w:rsidRDefault="001E622C" w:rsidP="00DA26F9">
      <w:pPr>
        <w:spacing w:after="0"/>
        <w:jc w:val="both"/>
        <w:rPr>
          <w:rFonts w:cstheme="minorHAnsi"/>
          <w:bCs/>
        </w:rPr>
      </w:pPr>
    </w:p>
    <w:p w14:paraId="041F2227" w14:textId="1A34B6AE" w:rsidR="00A82603" w:rsidRPr="00272441" w:rsidRDefault="00A82603" w:rsidP="00DB5AD0">
      <w:pPr>
        <w:spacing w:after="0"/>
        <w:jc w:val="right"/>
        <w:rPr>
          <w:rFonts w:cstheme="minorHAnsi"/>
          <w:b/>
        </w:rPr>
      </w:pPr>
      <w:r w:rsidRPr="00A82603">
        <w:rPr>
          <w:rFonts w:cstheme="minorHAnsi"/>
          <w:b/>
        </w:rPr>
        <w:t xml:space="preserve">Meta 3: </w:t>
      </w:r>
      <w:r w:rsidR="00F45212" w:rsidRPr="00F45212">
        <w:rPr>
          <w:rFonts w:cstheme="minorHAnsi"/>
          <w:bCs/>
        </w:rPr>
        <w:t>Integrar nuevos ingresos a la colección fotográfica del Archivo histórico</w:t>
      </w:r>
      <w:r w:rsidR="00F45212">
        <w:rPr>
          <w:rFonts w:cstheme="minorHAnsi"/>
          <w:bCs/>
        </w:rPr>
        <w:t>.</w:t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="007A21EF">
        <w:rPr>
          <w:rFonts w:cstheme="minorHAnsi"/>
          <w:bCs/>
        </w:rPr>
        <w:tab/>
      </w:r>
      <w:r w:rsidRPr="00272441">
        <w:rPr>
          <w:rFonts w:cstheme="minorHAnsi"/>
          <w:b/>
        </w:rPr>
        <w:t xml:space="preserve">Porcentaje de cumplimiento: 100% </w:t>
      </w:r>
    </w:p>
    <w:p w14:paraId="0605245A" w14:textId="77777777" w:rsidR="00A82603" w:rsidRDefault="00A82603" w:rsidP="00DA26F9">
      <w:pPr>
        <w:spacing w:after="0"/>
        <w:jc w:val="both"/>
        <w:rPr>
          <w:rFonts w:cstheme="minorHAnsi"/>
          <w:bCs/>
        </w:rPr>
      </w:pPr>
    </w:p>
    <w:p w14:paraId="63B964C3" w14:textId="6A76B50B" w:rsidR="003552E9" w:rsidRDefault="003552E9" w:rsidP="003552E9">
      <w:pPr>
        <w:spacing w:after="0"/>
        <w:ind w:left="567" w:right="758"/>
        <w:jc w:val="both"/>
        <w:rPr>
          <w:rFonts w:cstheme="minorHAnsi"/>
          <w:bCs/>
        </w:rPr>
      </w:pPr>
      <w:r w:rsidRPr="003552E9">
        <w:rPr>
          <w:rFonts w:cstheme="minorHAnsi"/>
          <w:bCs/>
        </w:rPr>
        <w:t>Con el ingreso de 29 piezas a la colección fotográfica</w:t>
      </w:r>
      <w:r>
        <w:rPr>
          <w:rFonts w:cstheme="minorHAnsi"/>
          <w:bCs/>
        </w:rPr>
        <w:t xml:space="preserve">, se </w:t>
      </w:r>
      <w:r w:rsidR="003A68B2">
        <w:rPr>
          <w:rFonts w:cstheme="minorHAnsi"/>
          <w:bCs/>
        </w:rPr>
        <w:t>llevaron a cabo</w:t>
      </w:r>
      <w:r w:rsidRPr="003552E9">
        <w:rPr>
          <w:rFonts w:cstheme="minorHAnsi"/>
          <w:bCs/>
        </w:rPr>
        <w:t xml:space="preserve"> las tareas </w:t>
      </w:r>
      <w:r w:rsidR="003A68B2">
        <w:rPr>
          <w:rFonts w:cstheme="minorHAnsi"/>
          <w:bCs/>
        </w:rPr>
        <w:t xml:space="preserve">necesarias </w:t>
      </w:r>
      <w:r w:rsidRPr="003552E9">
        <w:rPr>
          <w:rFonts w:cstheme="minorHAnsi"/>
          <w:bCs/>
        </w:rPr>
        <w:t xml:space="preserve">para su adecuada conservación en el depósito de archivo, </w:t>
      </w:r>
      <w:r w:rsidR="003A68B2">
        <w:rPr>
          <w:rFonts w:cstheme="minorHAnsi"/>
          <w:bCs/>
        </w:rPr>
        <w:t xml:space="preserve">por lo que </w:t>
      </w:r>
      <w:r w:rsidR="0042724C">
        <w:rPr>
          <w:rFonts w:cstheme="minorHAnsi"/>
          <w:bCs/>
        </w:rPr>
        <w:t>cada pieza fue limpiada para quitar polvo y otras partículas</w:t>
      </w:r>
      <w:r w:rsidR="00D77DE6">
        <w:rPr>
          <w:rFonts w:cstheme="minorHAnsi"/>
          <w:bCs/>
        </w:rPr>
        <w:t>, colocándolas posteriormente en guardas de primer y segundo nivel.</w:t>
      </w:r>
    </w:p>
    <w:p w14:paraId="756AF953" w14:textId="77777777" w:rsidR="003552E9" w:rsidRPr="003552E9" w:rsidRDefault="003552E9" w:rsidP="003552E9">
      <w:pPr>
        <w:spacing w:after="0"/>
        <w:ind w:left="567" w:right="758"/>
        <w:jc w:val="both"/>
        <w:rPr>
          <w:rFonts w:cstheme="minorHAnsi"/>
          <w:bCs/>
        </w:rPr>
      </w:pPr>
    </w:p>
    <w:p w14:paraId="698A76A4" w14:textId="46779ACE" w:rsidR="003552E9" w:rsidRDefault="003552E9" w:rsidP="003552E9">
      <w:pPr>
        <w:spacing w:after="0"/>
        <w:ind w:left="567" w:right="758"/>
        <w:jc w:val="both"/>
        <w:rPr>
          <w:rFonts w:cstheme="minorHAnsi"/>
          <w:bCs/>
        </w:rPr>
      </w:pPr>
      <w:r w:rsidRPr="003552E9">
        <w:rPr>
          <w:rFonts w:cstheme="minorHAnsi"/>
          <w:bCs/>
        </w:rPr>
        <w:t xml:space="preserve">Asimismo, se llevó a cabo el proceso de descripción del total de las fotografías y se integraron al catálogo de la colección. En ese sentido y con el objetivo de contar con descripciones integrales de cada una de las piezas documentales </w:t>
      </w:r>
      <w:r w:rsidR="00971FF9">
        <w:rPr>
          <w:rFonts w:cstheme="minorHAnsi"/>
          <w:bCs/>
        </w:rPr>
        <w:t>que forman parte de</w:t>
      </w:r>
      <w:r w:rsidRPr="003552E9">
        <w:rPr>
          <w:rFonts w:cstheme="minorHAnsi"/>
          <w:bCs/>
        </w:rPr>
        <w:t xml:space="preserve"> la colección, se complementaron </w:t>
      </w:r>
      <w:r w:rsidR="00971FF9">
        <w:rPr>
          <w:rFonts w:cstheme="minorHAnsi"/>
          <w:bCs/>
        </w:rPr>
        <w:t>325</w:t>
      </w:r>
      <w:r w:rsidRPr="003552E9">
        <w:rPr>
          <w:rFonts w:cstheme="minorHAnsi"/>
          <w:bCs/>
        </w:rPr>
        <w:t xml:space="preserve"> descripciones de fotografías, con el aporte de nuevos datos de identificación de personajes y eventos </w:t>
      </w:r>
      <w:r w:rsidR="00A004B8">
        <w:rPr>
          <w:rFonts w:cstheme="minorHAnsi"/>
          <w:bCs/>
        </w:rPr>
        <w:t>plasmados en las imágenes.</w:t>
      </w:r>
    </w:p>
    <w:p w14:paraId="44E59442" w14:textId="77777777" w:rsidR="00261FA3" w:rsidRDefault="00261FA3" w:rsidP="009E0AC6">
      <w:pPr>
        <w:spacing w:after="0"/>
        <w:rPr>
          <w:rFonts w:cstheme="minorHAnsi"/>
          <w:b/>
        </w:rPr>
      </w:pPr>
    </w:p>
    <w:p w14:paraId="28F3AEE3" w14:textId="7A69B8DB" w:rsidR="008818F3" w:rsidRDefault="008818F3" w:rsidP="009E0AC6">
      <w:pPr>
        <w:spacing w:after="0"/>
        <w:rPr>
          <w:rFonts w:cstheme="minorHAnsi"/>
          <w:b/>
          <w:lang w:val="es-MX"/>
        </w:rPr>
      </w:pPr>
      <w:bookmarkStart w:id="2" w:name="_Hlk187930501"/>
      <w:r w:rsidRPr="00952E47">
        <w:rPr>
          <w:rFonts w:cstheme="minorHAnsi"/>
          <w:b/>
        </w:rPr>
        <w:t>Meta 4</w:t>
      </w:r>
      <w:r w:rsidRPr="00952E47">
        <w:rPr>
          <w:rFonts w:cstheme="minorHAnsi"/>
          <w:bCs/>
        </w:rPr>
        <w:t xml:space="preserve">: </w:t>
      </w:r>
      <w:r w:rsidRPr="00952E47">
        <w:rPr>
          <w:rFonts w:cstheme="minorHAnsi"/>
          <w:bCs/>
          <w:lang w:val="es-MX"/>
        </w:rPr>
        <w:t>Dar seguimiento a los procesos de transferencias primarias.</w:t>
      </w:r>
      <w:r>
        <w:rPr>
          <w:rFonts w:cstheme="minorHAnsi"/>
          <w:b/>
          <w:lang w:val="es-MX"/>
        </w:rPr>
        <w:t xml:space="preserve"> </w:t>
      </w:r>
    </w:p>
    <w:p w14:paraId="2E8A157C" w14:textId="04C2318D" w:rsidR="009E0AC6" w:rsidRPr="008818F3" w:rsidRDefault="008818F3" w:rsidP="00261FA3">
      <w:pPr>
        <w:spacing w:after="0"/>
        <w:jc w:val="right"/>
        <w:rPr>
          <w:rFonts w:cstheme="minorHAnsi"/>
          <w:bCs/>
        </w:rPr>
      </w:pPr>
      <w:r w:rsidRPr="00272441">
        <w:rPr>
          <w:rFonts w:cstheme="minorHAnsi"/>
          <w:b/>
        </w:rPr>
        <w:t>Porcentaje de cumplimiento: 100%</w:t>
      </w:r>
    </w:p>
    <w:bookmarkEnd w:id="2"/>
    <w:p w14:paraId="0266FE5C" w14:textId="77777777" w:rsidR="009E0AC6" w:rsidRPr="008818F3" w:rsidRDefault="009E0AC6" w:rsidP="008818F3">
      <w:pPr>
        <w:spacing w:after="0"/>
        <w:jc w:val="both"/>
        <w:rPr>
          <w:rFonts w:cstheme="minorHAnsi"/>
          <w:bCs/>
        </w:rPr>
      </w:pPr>
    </w:p>
    <w:p w14:paraId="62E0047A" w14:textId="68A395D8" w:rsidR="009E0AC6" w:rsidRDefault="009E0AC6" w:rsidP="004E485E">
      <w:pPr>
        <w:spacing w:after="0"/>
        <w:ind w:left="567" w:right="758"/>
        <w:jc w:val="both"/>
        <w:rPr>
          <w:rFonts w:cstheme="minorHAnsi"/>
          <w:lang w:val="es-MX"/>
        </w:rPr>
      </w:pPr>
      <w:r w:rsidRPr="00DB5AD0">
        <w:rPr>
          <w:rFonts w:cstheme="minorHAnsi"/>
        </w:rPr>
        <w:t>Durante</w:t>
      </w:r>
      <w:r>
        <w:rPr>
          <w:rFonts w:cstheme="minorHAnsi"/>
          <w:lang w:val="es-MX"/>
        </w:rPr>
        <w:t xml:space="preserve"> este año, se recibieron </w:t>
      </w:r>
      <w:r w:rsidR="006770E4">
        <w:rPr>
          <w:rFonts w:cstheme="minorHAnsi"/>
          <w:lang w:val="es-MX"/>
        </w:rPr>
        <w:t>26</w:t>
      </w:r>
      <w:r>
        <w:rPr>
          <w:rFonts w:cstheme="minorHAnsi"/>
          <w:lang w:val="es-MX"/>
        </w:rPr>
        <w:t xml:space="preserve"> transferencias primarias de los archivos de trámite de las áreas jurisdiccionales y administrativas al Archivo de Concentración. Con un total de </w:t>
      </w:r>
      <w:r w:rsidR="00923C84">
        <w:rPr>
          <w:rFonts w:cstheme="minorHAnsi"/>
          <w:lang w:val="es-MX"/>
        </w:rPr>
        <w:t>165</w:t>
      </w:r>
      <w:r>
        <w:rPr>
          <w:rFonts w:cstheme="minorHAnsi"/>
          <w:lang w:val="es-MX"/>
        </w:rPr>
        <w:t xml:space="preserve"> cajas y </w:t>
      </w:r>
      <w:r w:rsidR="00561EAE">
        <w:rPr>
          <w:rFonts w:cstheme="minorHAnsi"/>
          <w:lang w:val="es-MX"/>
        </w:rPr>
        <w:t>3,265</w:t>
      </w:r>
      <w:r>
        <w:rPr>
          <w:rFonts w:cstheme="minorHAnsi"/>
          <w:lang w:val="es-MX"/>
        </w:rPr>
        <w:t xml:space="preserve"> expedientes, las transferencias se distribuyeron de la siguiente manera:</w:t>
      </w:r>
    </w:p>
    <w:p w14:paraId="18701019" w14:textId="77777777" w:rsidR="009E0AC6" w:rsidRDefault="009E0AC6" w:rsidP="009E0AC6">
      <w:pPr>
        <w:spacing w:after="0"/>
        <w:jc w:val="both"/>
        <w:rPr>
          <w:rFonts w:cstheme="minorHAnsi"/>
          <w:lang w:val="es-MX"/>
        </w:rPr>
      </w:pP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3226"/>
        <w:gridCol w:w="1099"/>
        <w:gridCol w:w="1276"/>
        <w:gridCol w:w="1559"/>
      </w:tblGrid>
      <w:tr w:rsidR="003F7163" w:rsidRPr="004E485E" w14:paraId="1A0FA229" w14:textId="77777777" w:rsidTr="003F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" w:type="dxa"/>
          </w:tcPr>
          <w:p w14:paraId="1E265D3C" w14:textId="77777777" w:rsidR="009E0AC6" w:rsidRPr="004E485E" w:rsidRDefault="009E0AC6">
            <w:pPr>
              <w:spacing w:after="0"/>
              <w:jc w:val="center"/>
              <w:rPr>
                <w:rFonts w:cstheme="minorHAnsi"/>
                <w:sz w:val="20"/>
                <w:szCs w:val="16"/>
                <w:lang w:val="es-MX"/>
              </w:rPr>
            </w:pPr>
            <w:r w:rsidRPr="004E485E">
              <w:rPr>
                <w:rFonts w:cstheme="minorHAnsi"/>
                <w:sz w:val="20"/>
                <w:szCs w:val="16"/>
                <w:lang w:val="es-MX"/>
              </w:rPr>
              <w:t>No.</w:t>
            </w:r>
          </w:p>
        </w:tc>
        <w:tc>
          <w:tcPr>
            <w:tcW w:w="3226" w:type="dxa"/>
          </w:tcPr>
          <w:p w14:paraId="40D38B95" w14:textId="77777777" w:rsidR="009E0AC6" w:rsidRPr="004E485E" w:rsidRDefault="009E0AC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 w:rsidRPr="004E485E">
              <w:rPr>
                <w:rFonts w:cstheme="minorHAnsi"/>
                <w:sz w:val="20"/>
                <w:szCs w:val="16"/>
                <w:lang w:val="es-MX"/>
              </w:rPr>
              <w:t>Área</w:t>
            </w:r>
          </w:p>
        </w:tc>
        <w:tc>
          <w:tcPr>
            <w:tcW w:w="1099" w:type="dxa"/>
          </w:tcPr>
          <w:p w14:paraId="0E9EA33B" w14:textId="77777777" w:rsidR="009E0AC6" w:rsidRPr="004E485E" w:rsidRDefault="009E0AC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 w:rsidRPr="004E485E">
              <w:rPr>
                <w:rFonts w:cstheme="minorHAnsi"/>
                <w:sz w:val="20"/>
                <w:szCs w:val="16"/>
                <w:lang w:val="es-MX"/>
              </w:rPr>
              <w:t>Cajas</w:t>
            </w:r>
          </w:p>
        </w:tc>
        <w:tc>
          <w:tcPr>
            <w:tcW w:w="1276" w:type="dxa"/>
          </w:tcPr>
          <w:p w14:paraId="76E8C893" w14:textId="77777777" w:rsidR="009E0AC6" w:rsidRPr="004E485E" w:rsidRDefault="009E0AC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 w:rsidRPr="004E485E">
              <w:rPr>
                <w:rFonts w:cstheme="minorHAnsi"/>
                <w:sz w:val="20"/>
                <w:szCs w:val="16"/>
                <w:lang w:val="es-MX"/>
              </w:rPr>
              <w:t>Expedientes</w:t>
            </w:r>
          </w:p>
        </w:tc>
        <w:tc>
          <w:tcPr>
            <w:tcW w:w="1559" w:type="dxa"/>
          </w:tcPr>
          <w:p w14:paraId="5B63ADCE" w14:textId="7EA824A4" w:rsidR="009E0AC6" w:rsidRPr="004E485E" w:rsidRDefault="009E0AC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 w:rsidRPr="004E485E">
              <w:rPr>
                <w:rFonts w:cstheme="minorHAnsi"/>
                <w:sz w:val="20"/>
                <w:szCs w:val="16"/>
                <w:lang w:val="es-MX"/>
              </w:rPr>
              <w:t xml:space="preserve">Mes </w:t>
            </w:r>
          </w:p>
        </w:tc>
      </w:tr>
      <w:tr w:rsidR="003F7163" w:rsidRPr="004E485E" w14:paraId="2E6AF41F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4CCCF11" w14:textId="3A3021D1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030A6A7" w14:textId="26CE4DFF" w:rsidR="009E0AC6" w:rsidRPr="004E485E" w:rsidRDefault="00BA58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Secretaría General de Acuerdos</w:t>
            </w:r>
          </w:p>
        </w:tc>
        <w:tc>
          <w:tcPr>
            <w:tcW w:w="1099" w:type="dxa"/>
            <w:shd w:val="clear" w:color="auto" w:fill="auto"/>
          </w:tcPr>
          <w:p w14:paraId="05762897" w14:textId="3121C877" w:rsidR="009E0AC6" w:rsidRPr="004E485E" w:rsidRDefault="00C02E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0FFED1E" w14:textId="3BE3351E" w:rsidR="009E0AC6" w:rsidRPr="004E485E" w:rsidRDefault="00C27A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643</w:t>
            </w:r>
          </w:p>
        </w:tc>
        <w:tc>
          <w:tcPr>
            <w:tcW w:w="1559" w:type="dxa"/>
            <w:shd w:val="clear" w:color="auto" w:fill="auto"/>
          </w:tcPr>
          <w:p w14:paraId="15385D96" w14:textId="28780D69" w:rsidR="009E0AC6" w:rsidRPr="004E485E" w:rsidRDefault="009147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Febrero</w:t>
            </w:r>
          </w:p>
        </w:tc>
      </w:tr>
      <w:tr w:rsidR="003F7163" w:rsidRPr="004E485E" w14:paraId="233F02C4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58241EAE" w14:textId="638E20AC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7CB9D5BE" w14:textId="3360F26A" w:rsidR="009E0AC6" w:rsidRPr="004E485E" w:rsidRDefault="00BA58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2ª Sala</w:t>
            </w:r>
          </w:p>
        </w:tc>
        <w:tc>
          <w:tcPr>
            <w:tcW w:w="1099" w:type="dxa"/>
            <w:shd w:val="clear" w:color="auto" w:fill="auto"/>
          </w:tcPr>
          <w:p w14:paraId="0049E6BE" w14:textId="78143D37" w:rsidR="009E0AC6" w:rsidRPr="004E485E" w:rsidRDefault="00C02EE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E25BF4C" w14:textId="5333CC03" w:rsidR="009E0AC6" w:rsidRPr="004E485E" w:rsidRDefault="00C27A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792889E5" w14:textId="21F9277C" w:rsidR="009E0AC6" w:rsidRPr="004E485E" w:rsidRDefault="009147D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Febrero</w:t>
            </w:r>
          </w:p>
        </w:tc>
      </w:tr>
      <w:tr w:rsidR="003F7163" w:rsidRPr="004E485E" w14:paraId="4ED0E29F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359D452" w14:textId="5E8846D7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683333B0" w14:textId="1E491D1F" w:rsidR="009E0AC6" w:rsidRPr="004E485E" w:rsidRDefault="00BA58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2ª Sala</w:t>
            </w:r>
          </w:p>
        </w:tc>
        <w:tc>
          <w:tcPr>
            <w:tcW w:w="1099" w:type="dxa"/>
            <w:shd w:val="clear" w:color="auto" w:fill="auto"/>
          </w:tcPr>
          <w:p w14:paraId="0F52E858" w14:textId="3B7D6BD4" w:rsidR="009E0AC6" w:rsidRPr="004E485E" w:rsidRDefault="00C02E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AA81FAD" w14:textId="2D24292E" w:rsidR="009E0AC6" w:rsidRPr="004E485E" w:rsidRDefault="00C27A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1ED43A64" w14:textId="26F34D03" w:rsidR="009E0AC6" w:rsidRPr="004E485E" w:rsidRDefault="009147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Marzo</w:t>
            </w:r>
          </w:p>
        </w:tc>
      </w:tr>
      <w:tr w:rsidR="003F7163" w:rsidRPr="004E485E" w14:paraId="6934247A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3E92D4DD" w14:textId="2D129693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1FCF9BB" w14:textId="39A17CED" w:rsidR="009E0AC6" w:rsidRPr="004E485E" w:rsidRDefault="00BE11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2ª Sala</w:t>
            </w:r>
          </w:p>
        </w:tc>
        <w:tc>
          <w:tcPr>
            <w:tcW w:w="1099" w:type="dxa"/>
            <w:shd w:val="clear" w:color="auto" w:fill="auto"/>
          </w:tcPr>
          <w:p w14:paraId="01052D70" w14:textId="559E7FCD" w:rsidR="009E0AC6" w:rsidRPr="004E485E" w:rsidRDefault="00C02EE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ACE57F" w14:textId="469C9C54" w:rsidR="009E0AC6" w:rsidRPr="004E485E" w:rsidRDefault="0082321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09ED21BE" w14:textId="23DEDE3A" w:rsidR="009E0AC6" w:rsidRPr="004E485E" w:rsidRDefault="009147D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Marzo</w:t>
            </w:r>
          </w:p>
        </w:tc>
      </w:tr>
      <w:tr w:rsidR="003F7163" w:rsidRPr="004E485E" w14:paraId="2CB4CB66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10684DD7" w14:textId="3D275188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0C7EEBB4" w14:textId="553528D7" w:rsidR="009E0AC6" w:rsidRPr="004E485E" w:rsidRDefault="00BE116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Defensoría de Oficio</w:t>
            </w:r>
            <w:r w:rsidR="003871B0">
              <w:rPr>
                <w:rFonts w:cstheme="minorHAnsi"/>
                <w:sz w:val="20"/>
                <w:szCs w:val="16"/>
                <w:lang w:val="es-MX"/>
              </w:rPr>
              <w:t xml:space="preserve"> Región III</w:t>
            </w:r>
          </w:p>
        </w:tc>
        <w:tc>
          <w:tcPr>
            <w:tcW w:w="1099" w:type="dxa"/>
            <w:shd w:val="clear" w:color="auto" w:fill="auto"/>
          </w:tcPr>
          <w:p w14:paraId="7C250D83" w14:textId="3C99C8DE" w:rsidR="009E0AC6" w:rsidRPr="004E485E" w:rsidRDefault="00C02E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484527A" w14:textId="2D45EA4D" w:rsidR="009E0AC6" w:rsidRPr="004E485E" w:rsidRDefault="0082321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73</w:t>
            </w:r>
          </w:p>
        </w:tc>
        <w:tc>
          <w:tcPr>
            <w:tcW w:w="1559" w:type="dxa"/>
            <w:shd w:val="clear" w:color="auto" w:fill="auto"/>
          </w:tcPr>
          <w:p w14:paraId="535CDDC6" w14:textId="71C0C361" w:rsidR="009E0AC6" w:rsidRPr="004E485E" w:rsidRDefault="0097298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Abril</w:t>
            </w:r>
          </w:p>
        </w:tc>
      </w:tr>
      <w:tr w:rsidR="003F7163" w:rsidRPr="004E485E" w14:paraId="372E8289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2EEBD30F" w14:textId="286F96DD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80CB979" w14:textId="59D93011" w:rsidR="009E0AC6" w:rsidRPr="004E485E" w:rsidRDefault="003871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Defensoría de Oficio Región IV</w:t>
            </w:r>
          </w:p>
        </w:tc>
        <w:tc>
          <w:tcPr>
            <w:tcW w:w="1099" w:type="dxa"/>
            <w:shd w:val="clear" w:color="auto" w:fill="auto"/>
          </w:tcPr>
          <w:p w14:paraId="0B341454" w14:textId="7199E24C" w:rsidR="009E0AC6" w:rsidRPr="004E485E" w:rsidRDefault="00F468C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7FC84EC" w14:textId="520AAC90" w:rsidR="009E0AC6" w:rsidRPr="004E485E" w:rsidRDefault="008245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1215</w:t>
            </w:r>
          </w:p>
        </w:tc>
        <w:tc>
          <w:tcPr>
            <w:tcW w:w="1559" w:type="dxa"/>
            <w:shd w:val="clear" w:color="auto" w:fill="auto"/>
          </w:tcPr>
          <w:p w14:paraId="5D844A98" w14:textId="299CA855" w:rsidR="009E0AC6" w:rsidRPr="004E485E" w:rsidRDefault="006E1C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Abril</w:t>
            </w:r>
          </w:p>
        </w:tc>
      </w:tr>
      <w:tr w:rsidR="003F7163" w:rsidRPr="004E485E" w14:paraId="0713C3A2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0E528908" w14:textId="5BFB6890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0F5FA16B" w14:textId="5B7CC1AE" w:rsidR="009E0AC6" w:rsidRPr="004E485E" w:rsidRDefault="003871B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2ª Sala</w:t>
            </w:r>
          </w:p>
        </w:tc>
        <w:tc>
          <w:tcPr>
            <w:tcW w:w="1099" w:type="dxa"/>
            <w:shd w:val="clear" w:color="auto" w:fill="auto"/>
          </w:tcPr>
          <w:p w14:paraId="62C05179" w14:textId="7E5D9B2F" w:rsidR="009E0AC6" w:rsidRPr="004E485E" w:rsidRDefault="00F468C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702735D" w14:textId="30FDFA96" w:rsidR="009E0AC6" w:rsidRPr="004E485E" w:rsidRDefault="008245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0410798D" w14:textId="0F9CE3A1" w:rsidR="009E0AC6" w:rsidRPr="004E485E" w:rsidRDefault="006E1C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3F7163" w:rsidRPr="004E485E" w14:paraId="6D115E36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1C44D42D" w14:textId="56E732B4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178C9047" w14:textId="66FCAB1A" w:rsidR="009E0AC6" w:rsidRPr="004E485E" w:rsidRDefault="005C6D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Comunicación Social</w:t>
            </w:r>
          </w:p>
        </w:tc>
        <w:tc>
          <w:tcPr>
            <w:tcW w:w="1099" w:type="dxa"/>
            <w:shd w:val="clear" w:color="auto" w:fill="auto"/>
          </w:tcPr>
          <w:p w14:paraId="0687A3AD" w14:textId="681757A7" w:rsidR="009E0AC6" w:rsidRPr="004E485E" w:rsidRDefault="00F468C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C9ED9F3" w14:textId="1A8308F6" w:rsidR="009E0AC6" w:rsidRPr="004E485E" w:rsidRDefault="008245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51BF84D" w14:textId="120A72F7" w:rsidR="009E0AC6" w:rsidRPr="004E485E" w:rsidRDefault="006E1C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3F7163" w:rsidRPr="004E485E" w14:paraId="37CD79EB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E583F51" w14:textId="7E910DC9" w:rsidR="009E0AC6" w:rsidRPr="00B56B3D" w:rsidRDefault="009E0AC6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A81F073" w14:textId="77A2D565" w:rsidR="009E0AC6" w:rsidRPr="004E485E" w:rsidRDefault="005C6D3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55F24671" w14:textId="628A8BFD" w:rsidR="009E0AC6" w:rsidRPr="004E485E" w:rsidRDefault="00F468C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852EA6" w14:textId="2FFB8F3F" w:rsidR="009E0AC6" w:rsidRPr="004E485E" w:rsidRDefault="008245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25B68B9" w14:textId="7A00329D" w:rsidR="009E0AC6" w:rsidRPr="004E485E" w:rsidRDefault="006E1C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EA6327" w:rsidRPr="004E485E" w14:paraId="6B5D446F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0B60C15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2FA62F6" w14:textId="1481D52C" w:rsidR="00EA6327" w:rsidRPr="004E485E" w:rsidRDefault="00ED30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2ª Sala</w:t>
            </w:r>
          </w:p>
        </w:tc>
        <w:tc>
          <w:tcPr>
            <w:tcW w:w="1099" w:type="dxa"/>
            <w:shd w:val="clear" w:color="auto" w:fill="auto"/>
          </w:tcPr>
          <w:p w14:paraId="7AB34F54" w14:textId="663F7FE3" w:rsidR="00EA6327" w:rsidRPr="004E485E" w:rsidRDefault="00F468C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BF75329" w14:textId="50A90472" w:rsidR="00EA6327" w:rsidRPr="004E485E" w:rsidRDefault="008245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141</w:t>
            </w:r>
          </w:p>
        </w:tc>
        <w:tc>
          <w:tcPr>
            <w:tcW w:w="1559" w:type="dxa"/>
            <w:shd w:val="clear" w:color="auto" w:fill="auto"/>
          </w:tcPr>
          <w:p w14:paraId="6A3E194B" w14:textId="42C92BDE" w:rsidR="00EA6327" w:rsidRPr="004E485E" w:rsidRDefault="006E1CE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EA6327" w:rsidRPr="004E485E" w14:paraId="66A3405A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57D3E7CB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7770445D" w14:textId="1DF3B780" w:rsidR="00EA6327" w:rsidRPr="004E485E" w:rsidRDefault="00ED304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28FB9A06" w14:textId="2D1A21D3" w:rsidR="00EA6327" w:rsidRPr="004E485E" w:rsidRDefault="00F468C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50A3EE" w14:textId="7F1C6A5E" w:rsidR="00EA6327" w:rsidRPr="004E485E" w:rsidRDefault="008245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BADD3CD" w14:textId="61FC84A2" w:rsidR="00EA6327" w:rsidRPr="004E485E" w:rsidRDefault="006E1C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EA6327" w:rsidRPr="004E485E" w14:paraId="11B967BD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08832F95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BC50FBE" w14:textId="5262D9C7" w:rsidR="00EA6327" w:rsidRPr="004E485E" w:rsidRDefault="007869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Unidad de Transparencia</w:t>
            </w:r>
          </w:p>
        </w:tc>
        <w:tc>
          <w:tcPr>
            <w:tcW w:w="1099" w:type="dxa"/>
            <w:shd w:val="clear" w:color="auto" w:fill="auto"/>
          </w:tcPr>
          <w:p w14:paraId="41F9B0BC" w14:textId="64C7ADA9" w:rsidR="00EA6327" w:rsidRPr="004E485E" w:rsidRDefault="00F468C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FDE56E" w14:textId="132D9702" w:rsidR="00EA6327" w:rsidRPr="004E485E" w:rsidRDefault="008245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648</w:t>
            </w:r>
          </w:p>
        </w:tc>
        <w:tc>
          <w:tcPr>
            <w:tcW w:w="1559" w:type="dxa"/>
            <w:shd w:val="clear" w:color="auto" w:fill="auto"/>
          </w:tcPr>
          <w:p w14:paraId="01576B3B" w14:textId="0535B200" w:rsidR="00EA6327" w:rsidRPr="004E485E" w:rsidRDefault="00F4036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Mayo</w:t>
            </w:r>
          </w:p>
        </w:tc>
      </w:tr>
      <w:tr w:rsidR="00EA6327" w:rsidRPr="004E485E" w14:paraId="47D3125B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7E43439A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758573FC" w14:textId="332F24DA" w:rsidR="00EA6327" w:rsidRPr="004E485E" w:rsidRDefault="0078693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Archivos</w:t>
            </w:r>
          </w:p>
        </w:tc>
        <w:tc>
          <w:tcPr>
            <w:tcW w:w="1099" w:type="dxa"/>
            <w:shd w:val="clear" w:color="auto" w:fill="auto"/>
          </w:tcPr>
          <w:p w14:paraId="1BBF934B" w14:textId="5B5E2A1F" w:rsidR="00EA6327" w:rsidRPr="004E485E" w:rsidRDefault="00F468C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826AC2" w14:textId="3E1C9FAA" w:rsidR="00EA6327" w:rsidRPr="004E485E" w:rsidRDefault="008245D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69464507" w14:textId="32982BB0" w:rsidR="00EA6327" w:rsidRPr="004E485E" w:rsidRDefault="00F403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Junio</w:t>
            </w:r>
          </w:p>
        </w:tc>
      </w:tr>
      <w:tr w:rsidR="00EA6327" w:rsidRPr="004E485E" w14:paraId="7F9714CE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B85086C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49A0E2C3" w14:textId="67CB591F" w:rsidR="00EA6327" w:rsidRPr="004E485E" w:rsidRDefault="00304C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3C283047" w14:textId="72FBD9A8" w:rsidR="00EA6327" w:rsidRPr="004E485E" w:rsidRDefault="00FE25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CD0DAAC" w14:textId="46B30ACE" w:rsidR="00EA6327" w:rsidRPr="004E485E" w:rsidRDefault="003259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61F23F" w14:textId="1E2FD169" w:rsidR="00EA6327" w:rsidRPr="004E485E" w:rsidRDefault="00F4036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Junio</w:t>
            </w:r>
          </w:p>
        </w:tc>
      </w:tr>
      <w:tr w:rsidR="00EA6327" w:rsidRPr="004E485E" w14:paraId="7293CF13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8888C9C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3987256C" w14:textId="195D3D26" w:rsidR="00EA6327" w:rsidRPr="004E485E" w:rsidRDefault="00304C3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10B37787" w14:textId="42D9FE90" w:rsidR="00EA6327" w:rsidRPr="004E485E" w:rsidRDefault="00FE25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FFD40F8" w14:textId="5DB26623" w:rsidR="00EA6327" w:rsidRPr="004E485E" w:rsidRDefault="003259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B25C82" w14:textId="7D3C3EE4" w:rsidR="00EA6327" w:rsidRPr="004E485E" w:rsidRDefault="00F4036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Junio</w:t>
            </w:r>
          </w:p>
        </w:tc>
      </w:tr>
      <w:tr w:rsidR="00EA6327" w:rsidRPr="004E485E" w14:paraId="479FE09D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31BCE729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36FCD654" w14:textId="6D461CAD" w:rsidR="00EA6327" w:rsidRPr="004E485E" w:rsidRDefault="00304C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Comunicación Social</w:t>
            </w:r>
          </w:p>
        </w:tc>
        <w:tc>
          <w:tcPr>
            <w:tcW w:w="1099" w:type="dxa"/>
            <w:shd w:val="clear" w:color="auto" w:fill="auto"/>
          </w:tcPr>
          <w:p w14:paraId="1CB72477" w14:textId="4007AFF5" w:rsidR="00EA6327" w:rsidRPr="004E485E" w:rsidRDefault="00FE25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FEBBCD" w14:textId="20053CBC" w:rsidR="00EA6327" w:rsidRPr="004E485E" w:rsidRDefault="003259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F7787C2" w14:textId="4E3D4D21" w:rsidR="00EA6327" w:rsidRPr="004E485E" w:rsidRDefault="001178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Junio</w:t>
            </w:r>
          </w:p>
        </w:tc>
      </w:tr>
      <w:tr w:rsidR="00EA6327" w:rsidRPr="004E485E" w14:paraId="0EDED622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7EE9905A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6153CA59" w14:textId="7A9A52F8" w:rsidR="00EA6327" w:rsidRPr="004E485E" w:rsidRDefault="0041475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Actuarios</w:t>
            </w:r>
          </w:p>
        </w:tc>
        <w:tc>
          <w:tcPr>
            <w:tcW w:w="1099" w:type="dxa"/>
            <w:shd w:val="clear" w:color="auto" w:fill="auto"/>
          </w:tcPr>
          <w:p w14:paraId="6686A9B2" w14:textId="01F61516" w:rsidR="00EA6327" w:rsidRPr="004E485E" w:rsidRDefault="00FE25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7290B0C" w14:textId="52B31800" w:rsidR="00EA6327" w:rsidRPr="004E485E" w:rsidRDefault="003259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C99AF16" w14:textId="7DEE28DC" w:rsidR="00EA6327" w:rsidRPr="004E485E" w:rsidRDefault="001178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Junio</w:t>
            </w:r>
          </w:p>
        </w:tc>
      </w:tr>
      <w:tr w:rsidR="00EA6327" w:rsidRPr="004E485E" w14:paraId="6C143731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363EB47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6B45C8D9" w14:textId="1CF74F49" w:rsidR="00EA6327" w:rsidRPr="004E485E" w:rsidRDefault="004147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Notificaciones Electrónicas</w:t>
            </w:r>
          </w:p>
        </w:tc>
        <w:tc>
          <w:tcPr>
            <w:tcW w:w="1099" w:type="dxa"/>
            <w:shd w:val="clear" w:color="auto" w:fill="auto"/>
          </w:tcPr>
          <w:p w14:paraId="6F3726AA" w14:textId="5893A09E" w:rsidR="00EA6327" w:rsidRPr="004E485E" w:rsidRDefault="00FE25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1D32F16" w14:textId="3BACA865" w:rsidR="00EA6327" w:rsidRPr="004E485E" w:rsidRDefault="003259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C2250E" w14:textId="33B5E74F" w:rsidR="00EA6327" w:rsidRPr="004E485E" w:rsidRDefault="0011786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Julio</w:t>
            </w:r>
          </w:p>
        </w:tc>
      </w:tr>
      <w:tr w:rsidR="00EA6327" w:rsidRPr="004E485E" w14:paraId="578AF5AB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105F158D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2ACA82AA" w14:textId="380F638C" w:rsidR="00EA6327" w:rsidRPr="004E485E" w:rsidRDefault="006077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36036F54" w14:textId="3285AD03" w:rsidR="00EA6327" w:rsidRPr="004E485E" w:rsidRDefault="00FE25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CD2AC81" w14:textId="69C4EFD9" w:rsidR="00EA6327" w:rsidRPr="004E485E" w:rsidRDefault="003259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930932C" w14:textId="54081FB5" w:rsidR="00EA6327" w:rsidRPr="004E485E" w:rsidRDefault="0011786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Julio</w:t>
            </w:r>
          </w:p>
        </w:tc>
      </w:tr>
      <w:tr w:rsidR="00EA6327" w:rsidRPr="004E485E" w14:paraId="3696E817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C61A051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7850231B" w14:textId="02E76980" w:rsidR="00EA6327" w:rsidRPr="004E485E" w:rsidRDefault="006077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Secretaría General de Acuerdos</w:t>
            </w:r>
          </w:p>
        </w:tc>
        <w:tc>
          <w:tcPr>
            <w:tcW w:w="1099" w:type="dxa"/>
            <w:shd w:val="clear" w:color="auto" w:fill="auto"/>
          </w:tcPr>
          <w:p w14:paraId="355FC15D" w14:textId="4D4B0DE0" w:rsidR="00EA6327" w:rsidRPr="004E485E" w:rsidRDefault="00FE25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589DEAF" w14:textId="3633B701" w:rsidR="00EA6327" w:rsidRPr="004E485E" w:rsidRDefault="002B7E0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530A782" w14:textId="4E855701" w:rsidR="00EA6327" w:rsidRPr="004E485E" w:rsidRDefault="006E7F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Agosto</w:t>
            </w:r>
          </w:p>
        </w:tc>
      </w:tr>
      <w:tr w:rsidR="00EA6327" w:rsidRPr="004E485E" w14:paraId="652A6348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B84A87A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5B404668" w14:textId="79F2B249" w:rsidR="00EA6327" w:rsidRPr="004E485E" w:rsidRDefault="003039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4ª Sala</w:t>
            </w:r>
          </w:p>
        </w:tc>
        <w:tc>
          <w:tcPr>
            <w:tcW w:w="1099" w:type="dxa"/>
            <w:shd w:val="clear" w:color="auto" w:fill="auto"/>
          </w:tcPr>
          <w:p w14:paraId="4BD9E7CF" w14:textId="536036A5" w:rsidR="00EA6327" w:rsidRPr="004E485E" w:rsidRDefault="00FE25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9EDCD9" w14:textId="41BB9FE4" w:rsidR="00EA6327" w:rsidRPr="004E485E" w:rsidRDefault="002B7E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68B32D8" w14:textId="34446752" w:rsidR="00EA6327" w:rsidRPr="004E485E" w:rsidRDefault="006E7F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Septiembre</w:t>
            </w:r>
          </w:p>
        </w:tc>
      </w:tr>
      <w:tr w:rsidR="00EA6327" w:rsidRPr="004E485E" w14:paraId="17A088D6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090D90A8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68733E84" w14:textId="66C16459" w:rsidR="00EA6327" w:rsidRPr="004E485E" w:rsidRDefault="003039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4ª Sala</w:t>
            </w:r>
          </w:p>
        </w:tc>
        <w:tc>
          <w:tcPr>
            <w:tcW w:w="1099" w:type="dxa"/>
            <w:shd w:val="clear" w:color="auto" w:fill="auto"/>
          </w:tcPr>
          <w:p w14:paraId="283244B7" w14:textId="0DE7725F" w:rsidR="00EA6327" w:rsidRPr="004E485E" w:rsidRDefault="002C6E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B82F680" w14:textId="3934E965" w:rsidR="00EA6327" w:rsidRPr="004E485E" w:rsidRDefault="002B7E0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14:paraId="5A37540E" w14:textId="6D7CB136" w:rsidR="00EA6327" w:rsidRPr="004E485E" w:rsidRDefault="006E7F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Septiembre</w:t>
            </w:r>
          </w:p>
        </w:tc>
      </w:tr>
      <w:tr w:rsidR="00EA6327" w:rsidRPr="004E485E" w14:paraId="1CB8554E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89F9A4E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4DEF8278" w14:textId="399C28D1" w:rsidR="00EA6327" w:rsidRPr="004E485E" w:rsidRDefault="003039A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4ª Sala</w:t>
            </w:r>
          </w:p>
        </w:tc>
        <w:tc>
          <w:tcPr>
            <w:tcW w:w="1099" w:type="dxa"/>
            <w:shd w:val="clear" w:color="auto" w:fill="auto"/>
          </w:tcPr>
          <w:p w14:paraId="786D1127" w14:textId="031B6B86" w:rsidR="00EA6327" w:rsidRPr="004E485E" w:rsidRDefault="002C6E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B380406" w14:textId="472C4FA7" w:rsidR="00EA6327" w:rsidRPr="004E485E" w:rsidRDefault="002B7E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118</w:t>
            </w:r>
          </w:p>
        </w:tc>
        <w:tc>
          <w:tcPr>
            <w:tcW w:w="1559" w:type="dxa"/>
            <w:shd w:val="clear" w:color="auto" w:fill="auto"/>
          </w:tcPr>
          <w:p w14:paraId="7EFF2195" w14:textId="61C1C963" w:rsidR="00EA6327" w:rsidRPr="004E485E" w:rsidRDefault="006E7F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Octubre</w:t>
            </w:r>
          </w:p>
        </w:tc>
      </w:tr>
      <w:tr w:rsidR="00EA6327" w:rsidRPr="004E485E" w14:paraId="740BA999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345CD1BC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67E6E14D" w14:textId="524F6B79" w:rsidR="00EA6327" w:rsidRPr="004E485E" w:rsidRDefault="003039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1F5E362B" w14:textId="4DF8B252" w:rsidR="00EA6327" w:rsidRPr="004E485E" w:rsidRDefault="002C6E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C50D860" w14:textId="0312C7E0" w:rsidR="00EA6327" w:rsidRPr="004E485E" w:rsidRDefault="00F816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489C306" w14:textId="4FCA5DEE" w:rsidR="00EA6327" w:rsidRPr="004E485E" w:rsidRDefault="00F816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Octubre</w:t>
            </w:r>
          </w:p>
        </w:tc>
      </w:tr>
      <w:tr w:rsidR="00EA6327" w:rsidRPr="004E485E" w14:paraId="3E1FFB81" w14:textId="77777777" w:rsidTr="00EA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29E9FCFB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109AFDEE" w14:textId="0C7F59B6" w:rsidR="00EA6327" w:rsidRPr="004E485E" w:rsidRDefault="00F37C9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Coordinación de Registro y Notificaciones Electrónicas</w:t>
            </w:r>
          </w:p>
        </w:tc>
        <w:tc>
          <w:tcPr>
            <w:tcW w:w="1099" w:type="dxa"/>
            <w:shd w:val="clear" w:color="auto" w:fill="auto"/>
          </w:tcPr>
          <w:p w14:paraId="250C57A6" w14:textId="58DDC7EF" w:rsidR="00EA6327" w:rsidRPr="004E485E" w:rsidRDefault="002C6E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8B3A05" w14:textId="028AA163" w:rsidR="00EA6327" w:rsidRPr="004E485E" w:rsidRDefault="00F816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93DACEE" w14:textId="548D45DB" w:rsidR="00EA6327" w:rsidRPr="004E485E" w:rsidRDefault="00F816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Noviembre</w:t>
            </w:r>
          </w:p>
        </w:tc>
      </w:tr>
      <w:tr w:rsidR="00EA6327" w:rsidRPr="004E485E" w14:paraId="70F1C173" w14:textId="77777777" w:rsidTr="00EA63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7F4EE627" w14:textId="77777777" w:rsidR="00EA6327" w:rsidRPr="00B56B3D" w:rsidRDefault="00EA6327" w:rsidP="00B56B3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i w:val="0"/>
                <w:iCs w:val="0"/>
                <w:sz w:val="20"/>
                <w:szCs w:val="16"/>
                <w:lang w:val="es-MX"/>
              </w:rPr>
            </w:pPr>
          </w:p>
        </w:tc>
        <w:tc>
          <w:tcPr>
            <w:tcW w:w="3226" w:type="dxa"/>
            <w:shd w:val="clear" w:color="auto" w:fill="auto"/>
          </w:tcPr>
          <w:p w14:paraId="10E072F6" w14:textId="6DE54BCD" w:rsidR="00EA6327" w:rsidRPr="004E485E" w:rsidRDefault="00F37C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3ª Sala</w:t>
            </w:r>
          </w:p>
        </w:tc>
        <w:tc>
          <w:tcPr>
            <w:tcW w:w="1099" w:type="dxa"/>
            <w:shd w:val="clear" w:color="auto" w:fill="auto"/>
          </w:tcPr>
          <w:p w14:paraId="0DA70689" w14:textId="3374E5E4" w:rsidR="00EA6327" w:rsidRPr="004E485E" w:rsidRDefault="002C6E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5BB26DF7" w14:textId="7325F498" w:rsidR="00EA6327" w:rsidRPr="004E485E" w:rsidRDefault="00F816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132</w:t>
            </w:r>
          </w:p>
        </w:tc>
        <w:tc>
          <w:tcPr>
            <w:tcW w:w="1559" w:type="dxa"/>
            <w:shd w:val="clear" w:color="auto" w:fill="auto"/>
          </w:tcPr>
          <w:p w14:paraId="67317F69" w14:textId="0EDA2EBB" w:rsidR="00EA6327" w:rsidRPr="004E485E" w:rsidRDefault="00F8166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6"/>
                <w:lang w:val="es-MX"/>
              </w:rPr>
            </w:pPr>
            <w:r>
              <w:rPr>
                <w:rFonts w:cstheme="minorHAnsi"/>
                <w:sz w:val="20"/>
                <w:szCs w:val="16"/>
                <w:lang w:val="es-MX"/>
              </w:rPr>
              <w:t>Diciembre</w:t>
            </w:r>
          </w:p>
        </w:tc>
      </w:tr>
    </w:tbl>
    <w:p w14:paraId="60CAF7D2" w14:textId="77777777" w:rsidR="009E0AC6" w:rsidRDefault="009E0AC6" w:rsidP="009E0AC6">
      <w:pPr>
        <w:spacing w:after="0"/>
        <w:jc w:val="both"/>
        <w:rPr>
          <w:rFonts w:cstheme="minorHAnsi"/>
          <w:lang w:val="es-MX"/>
        </w:rPr>
      </w:pPr>
    </w:p>
    <w:p w14:paraId="76BD77BA" w14:textId="77777777" w:rsidR="00343472" w:rsidRDefault="00343472" w:rsidP="009E0AC6">
      <w:pPr>
        <w:spacing w:after="0"/>
        <w:jc w:val="both"/>
        <w:rPr>
          <w:rFonts w:cstheme="minorHAnsi"/>
          <w:b/>
        </w:rPr>
      </w:pPr>
    </w:p>
    <w:p w14:paraId="4D0282AF" w14:textId="31CE894A" w:rsidR="00FB73C8" w:rsidRDefault="00FB73C8" w:rsidP="00FB73C8">
      <w:pPr>
        <w:spacing w:after="0"/>
        <w:rPr>
          <w:rFonts w:cstheme="minorHAnsi"/>
          <w:b/>
          <w:lang w:val="es-MX"/>
        </w:rPr>
      </w:pPr>
      <w:r w:rsidRPr="004D23EB">
        <w:rPr>
          <w:rFonts w:cstheme="minorHAnsi"/>
          <w:b/>
        </w:rPr>
        <w:t>Meta 5</w:t>
      </w:r>
      <w:r w:rsidRPr="004D23EB">
        <w:rPr>
          <w:rFonts w:cstheme="minorHAnsi"/>
          <w:bCs/>
        </w:rPr>
        <w:t>: Llevar a cabo el procedimiento de disposición documental.</w:t>
      </w:r>
    </w:p>
    <w:p w14:paraId="745C4338" w14:textId="77777777" w:rsidR="00FB73C8" w:rsidRPr="008818F3" w:rsidRDefault="00FB73C8" w:rsidP="00FB73C8">
      <w:pPr>
        <w:spacing w:after="0"/>
        <w:jc w:val="right"/>
        <w:rPr>
          <w:rFonts w:cstheme="minorHAnsi"/>
          <w:bCs/>
        </w:rPr>
      </w:pPr>
      <w:r w:rsidRPr="00272441">
        <w:rPr>
          <w:rFonts w:cstheme="minorHAnsi"/>
          <w:b/>
        </w:rPr>
        <w:t>Porcentaje de cumplimiento: 100%</w:t>
      </w:r>
    </w:p>
    <w:p w14:paraId="5626EDC7" w14:textId="77777777" w:rsidR="004D23EB" w:rsidRDefault="004D23EB" w:rsidP="009E0AC6">
      <w:pPr>
        <w:spacing w:after="0"/>
        <w:jc w:val="both"/>
        <w:rPr>
          <w:rFonts w:cstheme="minorHAnsi"/>
          <w:bCs/>
        </w:rPr>
      </w:pPr>
    </w:p>
    <w:p w14:paraId="46BCAA89" w14:textId="7DE4B8E6" w:rsidR="009617FC" w:rsidRDefault="00DC3EAF" w:rsidP="00AE64A3">
      <w:pPr>
        <w:spacing w:after="0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Durante la presente anualidad se </w:t>
      </w:r>
      <w:r w:rsidR="00DC3135">
        <w:rPr>
          <w:rFonts w:cstheme="minorHAnsi"/>
          <w:bCs/>
        </w:rPr>
        <w:t xml:space="preserve">identificaron, en el archivo de concentración, los expedientes </w:t>
      </w:r>
      <w:r w:rsidR="00451081">
        <w:rPr>
          <w:rFonts w:cstheme="minorHAnsi"/>
          <w:bCs/>
        </w:rPr>
        <w:t xml:space="preserve">correspondientes a </w:t>
      </w:r>
      <w:r w:rsidR="00DC3135">
        <w:rPr>
          <w:rFonts w:cstheme="minorHAnsi"/>
          <w:bCs/>
        </w:rPr>
        <w:t xml:space="preserve">la serie documental Recursos de Revisión, integrados </w:t>
      </w:r>
      <w:r w:rsidR="00451081">
        <w:rPr>
          <w:rFonts w:cstheme="minorHAnsi"/>
          <w:bCs/>
        </w:rPr>
        <w:t xml:space="preserve">entre los años 2008 y 2009 </w:t>
      </w:r>
      <w:r w:rsidR="00DC3135">
        <w:rPr>
          <w:rFonts w:cstheme="minorHAnsi"/>
          <w:bCs/>
        </w:rPr>
        <w:t>por la Segunda, Tercera y Cuarta Sala, cuyas vigencia</w:t>
      </w:r>
      <w:r w:rsidR="00451081">
        <w:rPr>
          <w:rFonts w:cstheme="minorHAnsi"/>
          <w:bCs/>
        </w:rPr>
        <w:t>s y plazos de conservación habían concluido.</w:t>
      </w:r>
      <w:r w:rsidR="008B3F8C">
        <w:rPr>
          <w:rFonts w:cstheme="minorHAnsi"/>
          <w:bCs/>
        </w:rPr>
        <w:t xml:space="preserve"> El </w:t>
      </w:r>
      <w:r w:rsidR="00086CF2">
        <w:rPr>
          <w:rFonts w:cstheme="minorHAnsi"/>
          <w:bCs/>
        </w:rPr>
        <w:t>5 de noviembre de 2024, en sesión ordinaria del Comité Dictaminador, se aprobó la baja documental de 1,968 expedientes, distribuidos de la siguiente manera:</w:t>
      </w:r>
    </w:p>
    <w:p w14:paraId="5B850A9E" w14:textId="77777777" w:rsidR="00512F03" w:rsidRDefault="00512F03" w:rsidP="009E0AC6">
      <w:pPr>
        <w:spacing w:after="0"/>
        <w:jc w:val="both"/>
        <w:rPr>
          <w:rFonts w:cstheme="minorHAnsi"/>
          <w:b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08"/>
      </w:tblGrid>
      <w:tr w:rsidR="007837D7" w14:paraId="3411041F" w14:textId="77777777" w:rsidTr="0039216A">
        <w:tc>
          <w:tcPr>
            <w:tcW w:w="3847" w:type="dxa"/>
            <w:tcBorders>
              <w:bottom w:val="single" w:sz="4" w:space="0" w:color="auto"/>
              <w:right w:val="single" w:sz="4" w:space="0" w:color="auto"/>
            </w:tcBorders>
          </w:tcPr>
          <w:p w14:paraId="733F22C3" w14:textId="069FDBA6" w:rsidR="007837D7" w:rsidRPr="00AE64A3" w:rsidRDefault="007837D7" w:rsidP="009617FC">
            <w:pPr>
              <w:spacing w:after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E64A3">
              <w:rPr>
                <w:rFonts w:cstheme="minorHAnsi"/>
                <w:bCs/>
                <w:i/>
                <w:iCs/>
                <w:sz w:val="20"/>
                <w:szCs w:val="20"/>
              </w:rPr>
              <w:t>Sala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</w:tcBorders>
          </w:tcPr>
          <w:p w14:paraId="58258FF8" w14:textId="468D9DFC" w:rsidR="007837D7" w:rsidRPr="00AE64A3" w:rsidRDefault="007837D7" w:rsidP="009617FC">
            <w:pPr>
              <w:spacing w:after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E64A3">
              <w:rPr>
                <w:rFonts w:cstheme="minorHAnsi"/>
                <w:bCs/>
                <w:i/>
                <w:iCs/>
                <w:sz w:val="20"/>
                <w:szCs w:val="20"/>
              </w:rPr>
              <w:t>Cantidad de expedientes dados de baja</w:t>
            </w:r>
          </w:p>
        </w:tc>
      </w:tr>
      <w:tr w:rsidR="007837D7" w14:paraId="1AE0E9F5" w14:textId="77777777" w:rsidTr="0039216A">
        <w:tc>
          <w:tcPr>
            <w:tcW w:w="3847" w:type="dxa"/>
            <w:tcBorders>
              <w:top w:val="single" w:sz="4" w:space="0" w:color="auto"/>
              <w:right w:val="single" w:sz="4" w:space="0" w:color="auto"/>
            </w:tcBorders>
          </w:tcPr>
          <w:p w14:paraId="0BD7E9BD" w14:textId="71EFA330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2ª Sala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</w:tcPr>
          <w:p w14:paraId="752EAE48" w14:textId="65B88E9A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709</w:t>
            </w:r>
          </w:p>
        </w:tc>
      </w:tr>
      <w:tr w:rsidR="007837D7" w14:paraId="668C70C5" w14:textId="77777777" w:rsidTr="0039216A">
        <w:tc>
          <w:tcPr>
            <w:tcW w:w="3847" w:type="dxa"/>
            <w:tcBorders>
              <w:right w:val="single" w:sz="4" w:space="0" w:color="auto"/>
            </w:tcBorders>
          </w:tcPr>
          <w:p w14:paraId="417C21C3" w14:textId="06DF08A7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3ª Sala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522813CD" w14:textId="754C2CFB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653</w:t>
            </w:r>
          </w:p>
        </w:tc>
      </w:tr>
      <w:tr w:rsidR="007837D7" w14:paraId="5AA6630C" w14:textId="77777777" w:rsidTr="0039216A">
        <w:tc>
          <w:tcPr>
            <w:tcW w:w="3847" w:type="dxa"/>
            <w:tcBorders>
              <w:right w:val="single" w:sz="4" w:space="0" w:color="auto"/>
            </w:tcBorders>
          </w:tcPr>
          <w:p w14:paraId="34CF127A" w14:textId="237BBFBD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4ª Sala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0704B528" w14:textId="4A24D825" w:rsidR="007837D7" w:rsidRPr="00AE64A3" w:rsidRDefault="00DA4561" w:rsidP="009617F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606</w:t>
            </w:r>
          </w:p>
        </w:tc>
      </w:tr>
    </w:tbl>
    <w:p w14:paraId="665BB0C2" w14:textId="77777777" w:rsidR="003C2FF4" w:rsidRDefault="003C2FF4" w:rsidP="009E0AC6">
      <w:pPr>
        <w:spacing w:after="0"/>
        <w:jc w:val="both"/>
        <w:rPr>
          <w:rFonts w:cstheme="minorHAnsi"/>
          <w:bCs/>
        </w:rPr>
      </w:pPr>
    </w:p>
    <w:p w14:paraId="75D0A9CC" w14:textId="62A4C663" w:rsidR="009D4B49" w:rsidRDefault="00086CF2" w:rsidP="00D466C1">
      <w:pPr>
        <w:spacing w:after="0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>Asimismo, se determinó la transferencia secundaria</w:t>
      </w:r>
      <w:r w:rsidR="000740DF">
        <w:rPr>
          <w:rFonts w:cstheme="minorHAnsi"/>
          <w:bCs/>
        </w:rPr>
        <w:t xml:space="preserve"> al Archivo Histórico de</w:t>
      </w:r>
      <w:r w:rsidR="009B07EE">
        <w:rPr>
          <w:rFonts w:cstheme="minorHAnsi"/>
          <w:bCs/>
        </w:rPr>
        <w:t>l Tribunal,</w:t>
      </w:r>
      <w:r>
        <w:rPr>
          <w:rFonts w:cstheme="minorHAnsi"/>
          <w:bCs/>
        </w:rPr>
        <w:t xml:space="preserve"> de 17 expedientes</w:t>
      </w:r>
      <w:r w:rsidR="000740DF">
        <w:rPr>
          <w:rFonts w:cstheme="minorHAnsi"/>
          <w:bCs/>
        </w:rPr>
        <w:t xml:space="preserve"> cuyas resoluciones integraron criterios jurídicos y/o fueron publicados en la revista del Tribunal.</w:t>
      </w:r>
    </w:p>
    <w:p w14:paraId="25EF57AD" w14:textId="77777777" w:rsidR="00A013C6" w:rsidRDefault="00A013C6" w:rsidP="009E0AC6">
      <w:pPr>
        <w:spacing w:after="0"/>
        <w:jc w:val="both"/>
        <w:rPr>
          <w:rFonts w:cstheme="minorHAnsi"/>
          <w:b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08"/>
      </w:tblGrid>
      <w:tr w:rsidR="00A013C6" w14:paraId="36FF9200" w14:textId="77777777" w:rsidTr="0039216A">
        <w:tc>
          <w:tcPr>
            <w:tcW w:w="3847" w:type="dxa"/>
            <w:tcBorders>
              <w:bottom w:val="single" w:sz="4" w:space="0" w:color="auto"/>
              <w:right w:val="single" w:sz="4" w:space="0" w:color="auto"/>
            </w:tcBorders>
          </w:tcPr>
          <w:p w14:paraId="34238421" w14:textId="23B912BC" w:rsidR="00A013C6" w:rsidRPr="00AE64A3" w:rsidRDefault="00A013C6" w:rsidP="00A013C6">
            <w:pPr>
              <w:spacing w:after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E64A3">
              <w:rPr>
                <w:rFonts w:cstheme="minorHAnsi"/>
                <w:bCs/>
                <w:i/>
                <w:iCs/>
                <w:sz w:val="20"/>
                <w:szCs w:val="20"/>
              </w:rPr>
              <w:t>Sala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</w:tcBorders>
          </w:tcPr>
          <w:p w14:paraId="5190B1BD" w14:textId="484F811D" w:rsidR="00A013C6" w:rsidRPr="00AE64A3" w:rsidRDefault="00A013C6" w:rsidP="00A013C6">
            <w:pPr>
              <w:spacing w:after="0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AE64A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Cantidad de expedientes </w:t>
            </w:r>
            <w:r w:rsidR="00314041" w:rsidRPr="00AE64A3">
              <w:rPr>
                <w:rFonts w:cstheme="minorHAnsi"/>
                <w:bCs/>
                <w:i/>
                <w:iCs/>
                <w:sz w:val="20"/>
                <w:szCs w:val="20"/>
              </w:rPr>
              <w:t>transferidos al Archivo Histórico</w:t>
            </w:r>
          </w:p>
        </w:tc>
      </w:tr>
      <w:tr w:rsidR="00A013C6" w14:paraId="5B110D67" w14:textId="77777777" w:rsidTr="0039216A">
        <w:tc>
          <w:tcPr>
            <w:tcW w:w="3847" w:type="dxa"/>
            <w:tcBorders>
              <w:top w:val="single" w:sz="4" w:space="0" w:color="auto"/>
              <w:right w:val="single" w:sz="4" w:space="0" w:color="auto"/>
            </w:tcBorders>
          </w:tcPr>
          <w:p w14:paraId="0590EAE3" w14:textId="7AD7338A" w:rsidR="00A013C6" w:rsidRPr="00AE64A3" w:rsidRDefault="00314041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2ª Sala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</w:tcPr>
          <w:p w14:paraId="238FB49F" w14:textId="06A358BA" w:rsidR="00A013C6" w:rsidRPr="00AE64A3" w:rsidRDefault="007A312B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A013C6" w14:paraId="747F5840" w14:textId="77777777" w:rsidTr="0039216A">
        <w:tc>
          <w:tcPr>
            <w:tcW w:w="3847" w:type="dxa"/>
            <w:tcBorders>
              <w:right w:val="single" w:sz="4" w:space="0" w:color="auto"/>
            </w:tcBorders>
          </w:tcPr>
          <w:p w14:paraId="383C19DC" w14:textId="0FED85B5" w:rsidR="00A013C6" w:rsidRPr="00AE64A3" w:rsidRDefault="00314041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3ª Sala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74B8E6E8" w14:textId="438F9529" w:rsidR="00A013C6" w:rsidRPr="00AE64A3" w:rsidRDefault="007A312B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</w:tr>
      <w:tr w:rsidR="00A013C6" w14:paraId="5F45B781" w14:textId="77777777" w:rsidTr="0039216A">
        <w:tc>
          <w:tcPr>
            <w:tcW w:w="3847" w:type="dxa"/>
            <w:tcBorders>
              <w:right w:val="single" w:sz="4" w:space="0" w:color="auto"/>
            </w:tcBorders>
          </w:tcPr>
          <w:p w14:paraId="546986C2" w14:textId="0DE417CD" w:rsidR="00A013C6" w:rsidRPr="00AE64A3" w:rsidRDefault="00314041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4ª Sala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14:paraId="6F63B5E3" w14:textId="765A2B92" w:rsidR="00A013C6" w:rsidRPr="00AE64A3" w:rsidRDefault="007A312B" w:rsidP="00A013C6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64A3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</w:tr>
    </w:tbl>
    <w:p w14:paraId="1A46C279" w14:textId="77777777" w:rsidR="00A013C6" w:rsidRPr="00A4555A" w:rsidRDefault="00A013C6" w:rsidP="00A013C6">
      <w:pPr>
        <w:spacing w:after="0"/>
        <w:jc w:val="center"/>
        <w:rPr>
          <w:rFonts w:cstheme="minorHAnsi"/>
          <w:bCs/>
        </w:rPr>
      </w:pPr>
    </w:p>
    <w:p w14:paraId="7A538F1D" w14:textId="379CABBE" w:rsidR="00343472" w:rsidRDefault="003C2FF4" w:rsidP="00D466C1">
      <w:pPr>
        <w:spacing w:after="0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La transferencia secundaria </w:t>
      </w:r>
      <w:r w:rsidR="00F56919">
        <w:rPr>
          <w:rFonts w:cstheme="minorHAnsi"/>
          <w:bCs/>
        </w:rPr>
        <w:t>de los expedientes se llevó a cabo el día 13 de noviembre de 2024. Por su parte, la destrucción de los documentos dados de baja se efectuó el</w:t>
      </w:r>
      <w:r w:rsidR="00A47A32">
        <w:rPr>
          <w:rFonts w:cstheme="minorHAnsi"/>
          <w:bCs/>
        </w:rPr>
        <w:t xml:space="preserve"> día</w:t>
      </w:r>
      <w:r w:rsidR="00F56919">
        <w:rPr>
          <w:rFonts w:cstheme="minorHAnsi"/>
          <w:bCs/>
        </w:rPr>
        <w:t xml:space="preserve"> 22 </w:t>
      </w:r>
      <w:r w:rsidR="00A47A32">
        <w:rPr>
          <w:rFonts w:cstheme="minorHAnsi"/>
          <w:bCs/>
        </w:rPr>
        <w:t>del mismo mes</w:t>
      </w:r>
      <w:r w:rsidR="00F56919">
        <w:rPr>
          <w:rFonts w:cstheme="minorHAnsi"/>
          <w:bCs/>
        </w:rPr>
        <w:t>.</w:t>
      </w:r>
    </w:p>
    <w:p w14:paraId="0E88EE9D" w14:textId="77777777" w:rsidR="008954D5" w:rsidRDefault="008954D5" w:rsidP="009E0AC6">
      <w:pPr>
        <w:spacing w:after="0"/>
        <w:jc w:val="both"/>
        <w:rPr>
          <w:rFonts w:cstheme="minorHAnsi"/>
          <w:bCs/>
        </w:rPr>
      </w:pPr>
    </w:p>
    <w:p w14:paraId="6BD09B3E" w14:textId="32AFE2E5" w:rsidR="008954D5" w:rsidRPr="003C2FF4" w:rsidRDefault="008954D5" w:rsidP="00D466C1">
      <w:pPr>
        <w:spacing w:after="0"/>
        <w:ind w:left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Con la trituración de los documentos y en cumplimiento con el artículo 17 de la Ley de Archivos del Estado de Guanajuato, </w:t>
      </w:r>
      <w:r w:rsidR="00E41364">
        <w:rPr>
          <w:rFonts w:cstheme="minorHAnsi"/>
          <w:bCs/>
        </w:rPr>
        <w:t>el 28 de noviembre</w:t>
      </w:r>
      <w:r w:rsidR="005344BC">
        <w:rPr>
          <w:rFonts w:cstheme="minorHAnsi"/>
          <w:bCs/>
        </w:rPr>
        <w:t xml:space="preserve"> </w:t>
      </w:r>
      <w:r w:rsidR="00A47A32">
        <w:rPr>
          <w:rFonts w:cstheme="minorHAnsi"/>
          <w:bCs/>
        </w:rPr>
        <w:t xml:space="preserve">2024 </w:t>
      </w:r>
      <w:r>
        <w:rPr>
          <w:rFonts w:cstheme="minorHAnsi"/>
          <w:bCs/>
        </w:rPr>
        <w:t xml:space="preserve">se realizó </w:t>
      </w:r>
      <w:r w:rsidR="00CF75AF">
        <w:rPr>
          <w:rFonts w:cstheme="minorHAnsi"/>
          <w:bCs/>
        </w:rPr>
        <w:t>la donación de 17 arbolitos a la Secretaría del Agua y Medio Ambiente, para fines de forestación y reforestación.</w:t>
      </w:r>
    </w:p>
    <w:p w14:paraId="0B52DE3D" w14:textId="77777777" w:rsidR="003C2FF4" w:rsidRDefault="003C2FF4" w:rsidP="009E0AC6">
      <w:pPr>
        <w:spacing w:after="0"/>
        <w:jc w:val="both"/>
        <w:rPr>
          <w:rFonts w:cstheme="minorHAnsi"/>
          <w:b/>
        </w:rPr>
      </w:pPr>
    </w:p>
    <w:p w14:paraId="0EBB9C8F" w14:textId="5A2F694C" w:rsidR="00FC42DC" w:rsidRDefault="00FC42DC" w:rsidP="00FC42DC">
      <w:pPr>
        <w:spacing w:after="0"/>
        <w:rPr>
          <w:rFonts w:cstheme="minorHAnsi"/>
          <w:b/>
          <w:lang w:val="es-MX"/>
        </w:rPr>
      </w:pPr>
      <w:r w:rsidRPr="008818F3">
        <w:rPr>
          <w:rFonts w:cstheme="minorHAnsi"/>
          <w:b/>
        </w:rPr>
        <w:t xml:space="preserve">Meta </w:t>
      </w:r>
      <w:r>
        <w:rPr>
          <w:rFonts w:cstheme="minorHAnsi"/>
          <w:b/>
        </w:rPr>
        <w:t>6</w:t>
      </w:r>
      <w:r w:rsidRPr="00261FA3">
        <w:rPr>
          <w:rFonts w:cstheme="minorHAnsi"/>
          <w:bCs/>
        </w:rPr>
        <w:t xml:space="preserve">: </w:t>
      </w:r>
      <w:r w:rsidR="005A6A99" w:rsidRPr="005A6A99">
        <w:rPr>
          <w:rFonts w:cstheme="minorHAnsi"/>
          <w:bCs/>
        </w:rPr>
        <w:t>Catalogar los expedientes transferidos al Archivo Histórico</w:t>
      </w:r>
      <w:r w:rsidR="005A6A99">
        <w:rPr>
          <w:rFonts w:cstheme="minorHAnsi"/>
          <w:bCs/>
        </w:rPr>
        <w:t>.</w:t>
      </w:r>
    </w:p>
    <w:p w14:paraId="4E71C362" w14:textId="77777777" w:rsidR="00FC42DC" w:rsidRPr="008818F3" w:rsidRDefault="00FC42DC" w:rsidP="00FC42DC">
      <w:pPr>
        <w:spacing w:after="0"/>
        <w:jc w:val="right"/>
        <w:rPr>
          <w:rFonts w:cstheme="minorHAnsi"/>
          <w:bCs/>
        </w:rPr>
      </w:pPr>
      <w:r w:rsidRPr="00272441">
        <w:rPr>
          <w:rFonts w:cstheme="minorHAnsi"/>
          <w:b/>
        </w:rPr>
        <w:t>Porcentaje de cumplimiento: 100%</w:t>
      </w:r>
    </w:p>
    <w:p w14:paraId="1D57C74A" w14:textId="77777777" w:rsidR="00AE64A3" w:rsidRDefault="00AE64A3" w:rsidP="000074B8">
      <w:pPr>
        <w:jc w:val="both"/>
      </w:pPr>
    </w:p>
    <w:p w14:paraId="71E445C5" w14:textId="3A5300F0" w:rsidR="00282D1E" w:rsidRDefault="00282D1E" w:rsidP="00DB5AD0">
      <w:pPr>
        <w:spacing w:after="0"/>
        <w:ind w:left="567" w:right="758"/>
        <w:jc w:val="both"/>
      </w:pPr>
      <w:r>
        <w:t>A través de una transferencia secundaria llevada a cabo en 2023</w:t>
      </w:r>
      <w:r w:rsidR="000074B8">
        <w:t xml:space="preserve"> s</w:t>
      </w:r>
      <w:r w:rsidR="000074B8" w:rsidRPr="00497B9C">
        <w:t xml:space="preserve">e </w:t>
      </w:r>
      <w:r w:rsidR="000074B8">
        <w:t xml:space="preserve">integraron al Archivo Histórico 98 expedientes de la serie Recursos de Reclamación y 7 de la serie Recursos de Revisión, </w:t>
      </w:r>
      <w:r>
        <w:t xml:space="preserve">siendo los primeros expedientes </w:t>
      </w:r>
      <w:r w:rsidR="00532F4C">
        <w:t>de las áreas jurisdiccionales que se integran como patrimonio documental de la institución al contener valores secundarios.</w:t>
      </w:r>
    </w:p>
    <w:p w14:paraId="2496B2A0" w14:textId="77777777" w:rsidR="00041444" w:rsidRDefault="00041444" w:rsidP="00DB5AD0">
      <w:pPr>
        <w:spacing w:after="0"/>
        <w:ind w:left="567" w:right="758"/>
        <w:jc w:val="both"/>
      </w:pPr>
    </w:p>
    <w:p w14:paraId="2B142EA3" w14:textId="3B397008" w:rsidR="000074B8" w:rsidRDefault="007E4D17" w:rsidP="00DB5AD0">
      <w:pPr>
        <w:spacing w:after="0"/>
        <w:ind w:left="567" w:right="758"/>
        <w:jc w:val="both"/>
      </w:pPr>
      <w:r>
        <w:t>Estos 105</w:t>
      </w:r>
      <w:r w:rsidR="00DB5AD0">
        <w:t xml:space="preserve"> expedientes</w:t>
      </w:r>
      <w:r w:rsidR="000074B8">
        <w:t xml:space="preserve"> fueron descritos en el catálogo del archivo, añadiendo datos para facilitar la búsqueda de información específica por parte de los usuarios y personal del archivo.</w:t>
      </w:r>
    </w:p>
    <w:p w14:paraId="612487F3" w14:textId="77777777" w:rsidR="00343472" w:rsidRDefault="00343472" w:rsidP="009E0AC6">
      <w:pPr>
        <w:spacing w:after="0"/>
        <w:jc w:val="both"/>
        <w:rPr>
          <w:rFonts w:cstheme="minorHAnsi"/>
          <w:b/>
        </w:rPr>
      </w:pPr>
    </w:p>
    <w:p w14:paraId="6592301E" w14:textId="28CC0A2E" w:rsidR="009E0AC6" w:rsidRDefault="00940DF9" w:rsidP="00BD6B85">
      <w:pPr>
        <w:spacing w:after="0"/>
        <w:jc w:val="right"/>
        <w:rPr>
          <w:rFonts w:cstheme="minorHAnsi"/>
          <w:b/>
        </w:rPr>
      </w:pPr>
      <w:r w:rsidRPr="00041444">
        <w:rPr>
          <w:rFonts w:cstheme="minorHAnsi"/>
          <w:b/>
        </w:rPr>
        <w:t xml:space="preserve">Meta </w:t>
      </w:r>
      <w:r w:rsidR="003F404A" w:rsidRPr="00041444">
        <w:rPr>
          <w:rFonts w:cstheme="minorHAnsi"/>
          <w:b/>
        </w:rPr>
        <w:t>7</w:t>
      </w:r>
      <w:r w:rsidRPr="00041444">
        <w:rPr>
          <w:rFonts w:cstheme="minorHAnsi"/>
        </w:rPr>
        <w:t xml:space="preserve">: </w:t>
      </w:r>
      <w:r w:rsidR="00BD6B85" w:rsidRPr="00041444">
        <w:rPr>
          <w:rFonts w:cstheme="minorHAnsi"/>
          <w:lang w:val="es-MX"/>
        </w:rPr>
        <w:t>Inventariar expedientes de la serie Recursos de Reclamación de los años 1988 a 1992</w:t>
      </w: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  <w:r w:rsidRPr="00272441">
        <w:rPr>
          <w:rFonts w:cstheme="minorHAnsi"/>
          <w:b/>
        </w:rPr>
        <w:t>Porcentaje de cumplimiento: 100%</w:t>
      </w:r>
    </w:p>
    <w:p w14:paraId="28DAD602" w14:textId="77777777" w:rsidR="00A05FE8" w:rsidRDefault="00A05FE8" w:rsidP="005552E8">
      <w:pPr>
        <w:spacing w:after="0"/>
        <w:ind w:left="567" w:right="758"/>
        <w:jc w:val="both"/>
      </w:pPr>
    </w:p>
    <w:p w14:paraId="1A18C929" w14:textId="0B6CF58B" w:rsidR="00041444" w:rsidRDefault="00CA2E90" w:rsidP="005552E8">
      <w:pPr>
        <w:spacing w:after="0"/>
        <w:ind w:left="567" w:right="758"/>
        <w:jc w:val="both"/>
      </w:pPr>
      <w:r>
        <w:t xml:space="preserve">Al </w:t>
      </w:r>
      <w:r w:rsidR="00454A75">
        <w:t>revisar l</w:t>
      </w:r>
      <w:r w:rsidR="00FE59E7">
        <w:t>os inventarios con los que cuenta l</w:t>
      </w:r>
      <w:r w:rsidR="0088171C">
        <w:t>a Coordinación de</w:t>
      </w:r>
      <w:r w:rsidR="00FE59E7">
        <w:t xml:space="preserve"> Archivo</w:t>
      </w:r>
      <w:r w:rsidR="0088171C">
        <w:t>s</w:t>
      </w:r>
      <w:r w:rsidR="00FE59E7">
        <w:t xml:space="preserve">, se </w:t>
      </w:r>
      <w:r w:rsidR="00D66818">
        <w:t xml:space="preserve">observó que en el de los </w:t>
      </w:r>
      <w:r w:rsidR="0092466C">
        <w:t xml:space="preserve">expedientes de los </w:t>
      </w:r>
      <w:r w:rsidR="00385E9C">
        <w:t>Recursos de Reclamación (</w:t>
      </w:r>
      <w:proofErr w:type="spellStart"/>
      <w:r w:rsidR="00385E9C">
        <w:t>TOCA</w:t>
      </w:r>
      <w:r w:rsidR="00761301">
        <w:t>´s</w:t>
      </w:r>
      <w:proofErr w:type="spellEnd"/>
      <w:r w:rsidR="00385E9C">
        <w:t xml:space="preserve">) de la Secretaría General de Acuerdos, </w:t>
      </w:r>
      <w:r w:rsidR="00677155">
        <w:t>no se tenía registro de los expedientes producidos antes del número 10/992</w:t>
      </w:r>
      <w:r w:rsidR="0029679F">
        <w:t>.</w:t>
      </w:r>
    </w:p>
    <w:p w14:paraId="1F62BE5F" w14:textId="77777777" w:rsidR="0029679F" w:rsidRDefault="0029679F" w:rsidP="005552E8">
      <w:pPr>
        <w:spacing w:after="0"/>
        <w:ind w:left="567" w:right="758"/>
        <w:jc w:val="both"/>
      </w:pPr>
    </w:p>
    <w:p w14:paraId="41622FA6" w14:textId="23D58279" w:rsidR="0029679F" w:rsidRDefault="0029679F" w:rsidP="005552E8">
      <w:pPr>
        <w:spacing w:after="0"/>
        <w:ind w:left="567" w:right="758"/>
        <w:jc w:val="both"/>
      </w:pPr>
      <w:r>
        <w:t xml:space="preserve">Es por lo anterior que se consideró necesario </w:t>
      </w:r>
      <w:r w:rsidR="00DD7937">
        <w:t xml:space="preserve">realizar una búsqueda dentro de los legajos </w:t>
      </w:r>
      <w:r w:rsidR="00762ECB">
        <w:t xml:space="preserve">de expedientes de </w:t>
      </w:r>
      <w:r w:rsidR="008713C9">
        <w:t xml:space="preserve">procesos administrativos </w:t>
      </w:r>
      <w:r w:rsidR="000B2152">
        <w:t>producidos en la primera década del Tribunal</w:t>
      </w:r>
      <w:r w:rsidR="00250B6C">
        <w:t>, depositados en el Archivo de Concentración,</w:t>
      </w:r>
      <w:r w:rsidR="008713C9">
        <w:t xml:space="preserve"> </w:t>
      </w:r>
      <w:r w:rsidR="00D9677D">
        <w:t xml:space="preserve">para </w:t>
      </w:r>
      <w:r w:rsidR="00F0430D">
        <w:t>loca</w:t>
      </w:r>
      <w:r w:rsidR="00250B6C">
        <w:t>lizarlos.</w:t>
      </w:r>
    </w:p>
    <w:p w14:paraId="2EFB8786" w14:textId="77777777" w:rsidR="008870AE" w:rsidRDefault="008870AE" w:rsidP="005552E8">
      <w:pPr>
        <w:spacing w:after="0"/>
        <w:ind w:left="567" w:right="758"/>
        <w:jc w:val="both"/>
      </w:pPr>
    </w:p>
    <w:p w14:paraId="28321710" w14:textId="0DA36A4B" w:rsidR="00F501F5" w:rsidRDefault="001F7B7C" w:rsidP="00F501F5">
      <w:pPr>
        <w:spacing w:after="0"/>
        <w:ind w:left="567" w:right="758"/>
        <w:jc w:val="both"/>
      </w:pPr>
      <w:r>
        <w:t xml:space="preserve">En una primera búsqueda se </w:t>
      </w:r>
      <w:r w:rsidR="00F501F5">
        <w:t xml:space="preserve">localizaron 19 de expedientes, por lo que fue necesario solicitar a la Secretaría General de Acuerdos el libro de registro de estos expedientes desde el inicio de actividades del Tribunal, </w:t>
      </w:r>
      <w:r w:rsidR="007759BD">
        <w:t xml:space="preserve">para tener la certeza </w:t>
      </w:r>
      <w:r w:rsidR="00F501F5">
        <w:t>respecto al número total de ex</w:t>
      </w:r>
      <w:r w:rsidR="00F504F2">
        <w:t>pedientes producidos en cada anualidad.</w:t>
      </w:r>
    </w:p>
    <w:p w14:paraId="3D20A3A6" w14:textId="77777777" w:rsidR="005552E8" w:rsidRDefault="005552E8" w:rsidP="005552E8">
      <w:pPr>
        <w:spacing w:after="0"/>
        <w:ind w:left="567" w:right="758"/>
        <w:jc w:val="both"/>
      </w:pPr>
    </w:p>
    <w:p w14:paraId="7FEAEF94" w14:textId="06BA6E0B" w:rsidR="00041444" w:rsidRDefault="00041444" w:rsidP="005552E8">
      <w:pPr>
        <w:spacing w:after="0"/>
        <w:ind w:left="567" w:right="758"/>
        <w:jc w:val="both"/>
      </w:pPr>
      <w:r>
        <w:t xml:space="preserve">Con la información plasmada en dicho </w:t>
      </w:r>
      <w:r w:rsidR="00FE054B">
        <w:t>libro</w:t>
      </w:r>
      <w:r>
        <w:t xml:space="preserve"> se pudo obtener </w:t>
      </w:r>
      <w:r w:rsidR="009A0381">
        <w:t>datos</w:t>
      </w:r>
      <w:r>
        <w:t xml:space="preserve"> respecto a los números de TOCAS producidos desde 1987 hasta 1992, el expediente y Sala de origen, así como la Sala y el magistrado ponente.</w:t>
      </w:r>
    </w:p>
    <w:p w14:paraId="47E32534" w14:textId="77777777" w:rsidR="009E2F43" w:rsidRDefault="009E2F43" w:rsidP="005552E8">
      <w:pPr>
        <w:spacing w:after="0"/>
        <w:ind w:left="567" w:right="758"/>
        <w:jc w:val="both"/>
      </w:pPr>
    </w:p>
    <w:p w14:paraId="20123374" w14:textId="00D131EB" w:rsidR="00F501F5" w:rsidRDefault="00ED41D8" w:rsidP="00F501F5">
      <w:pPr>
        <w:spacing w:after="0"/>
        <w:ind w:left="567" w:right="758"/>
        <w:jc w:val="both"/>
      </w:pPr>
      <w:r>
        <w:t>Como resultado de est</w:t>
      </w:r>
      <w:r w:rsidR="00931965">
        <w:t xml:space="preserve">as actividades, se pudo </w:t>
      </w:r>
      <w:r w:rsidR="00C86B66">
        <w:t xml:space="preserve">realizar el inventario de los Recursos de </w:t>
      </w:r>
      <w:r w:rsidR="00EC5567">
        <w:t xml:space="preserve">Reclamación desde el </w:t>
      </w:r>
      <w:r w:rsidR="00474185">
        <w:t>primero de ellos hasta los 10 primeros</w:t>
      </w:r>
      <w:r w:rsidR="001A5110">
        <w:t xml:space="preserve"> del año 1992, </w:t>
      </w:r>
      <w:r w:rsidR="00FA208C">
        <w:t xml:space="preserve">cumpliendo con el objetivo planteado, lo cual permitirá </w:t>
      </w:r>
      <w:r w:rsidR="00B3507C">
        <w:t>posteriormente</w:t>
      </w:r>
      <w:r w:rsidR="00FA208C">
        <w:t xml:space="preserve"> </w:t>
      </w:r>
      <w:r w:rsidR="00957F95">
        <w:t xml:space="preserve">llevar a cabo </w:t>
      </w:r>
      <w:r w:rsidR="006375AF">
        <w:t xml:space="preserve">los procedimientos de </w:t>
      </w:r>
      <w:r w:rsidR="00FA7D22">
        <w:t xml:space="preserve">valoración </w:t>
      </w:r>
      <w:r w:rsidR="006375AF">
        <w:t xml:space="preserve">y </w:t>
      </w:r>
      <w:r w:rsidR="00443B5A">
        <w:t xml:space="preserve">disposición </w:t>
      </w:r>
      <w:r w:rsidR="006375AF">
        <w:t>documental.</w:t>
      </w:r>
    </w:p>
    <w:p w14:paraId="344CE044" w14:textId="77777777" w:rsidR="009E0AC6" w:rsidRDefault="009E0AC6" w:rsidP="009E0AC6">
      <w:pPr>
        <w:spacing w:after="0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</w:t>
      </w:r>
    </w:p>
    <w:p w14:paraId="098135D7" w14:textId="2629EE53" w:rsidR="00BB5CC1" w:rsidRDefault="00BB5CC1" w:rsidP="00BB5CC1">
      <w:pPr>
        <w:pStyle w:val="Default"/>
        <w:rPr>
          <w:sz w:val="22"/>
          <w:szCs w:val="22"/>
        </w:rPr>
      </w:pPr>
      <w:r>
        <w:rPr>
          <w:rFonts w:cstheme="minorHAnsi"/>
        </w:rPr>
        <w:t xml:space="preserve">       </w:t>
      </w:r>
      <w:r w:rsidR="00F07FA8" w:rsidRPr="00056ADB">
        <w:rPr>
          <w:rFonts w:cstheme="minorHAnsi"/>
          <w:b/>
          <w:sz w:val="22"/>
          <w:szCs w:val="22"/>
        </w:rPr>
        <w:t xml:space="preserve">Meta </w:t>
      </w:r>
      <w:r w:rsidR="003F404A" w:rsidRPr="00056ADB">
        <w:rPr>
          <w:rFonts w:cstheme="minorHAnsi"/>
          <w:b/>
          <w:sz w:val="22"/>
          <w:szCs w:val="22"/>
        </w:rPr>
        <w:t>8</w:t>
      </w:r>
      <w:r w:rsidR="00F07FA8" w:rsidRPr="00056ADB">
        <w:rPr>
          <w:rFonts w:cstheme="minorHAnsi"/>
          <w:bCs/>
          <w:sz w:val="22"/>
          <w:szCs w:val="22"/>
        </w:rPr>
        <w:t xml:space="preserve">: </w:t>
      </w:r>
      <w:r w:rsidRPr="00056ADB">
        <w:rPr>
          <w:sz w:val="22"/>
          <w:szCs w:val="22"/>
        </w:rPr>
        <w:t xml:space="preserve">Realizar propuesta para expurgo del Periódico Oficial del Gobierno del Estado de Guanajuato </w:t>
      </w:r>
    </w:p>
    <w:p w14:paraId="3ACDF772" w14:textId="081A00A9" w:rsidR="00D50842" w:rsidRDefault="00D50842" w:rsidP="00D50842">
      <w:pPr>
        <w:pStyle w:val="Default"/>
        <w:jc w:val="right"/>
        <w:rPr>
          <w:sz w:val="22"/>
          <w:szCs w:val="22"/>
        </w:rPr>
      </w:pPr>
      <w:r w:rsidRPr="00DB5AD0">
        <w:rPr>
          <w:rFonts w:cstheme="minorHAnsi"/>
          <w:b/>
          <w:sz w:val="22"/>
          <w:szCs w:val="22"/>
        </w:rPr>
        <w:t>Porcentaje de cumplimiento: 100%</w:t>
      </w:r>
    </w:p>
    <w:p w14:paraId="51F52B2D" w14:textId="77777777" w:rsidR="00B30FFD" w:rsidRDefault="00B30FFD" w:rsidP="00BB5CC1">
      <w:pPr>
        <w:pStyle w:val="Default"/>
        <w:rPr>
          <w:sz w:val="22"/>
          <w:szCs w:val="22"/>
        </w:rPr>
      </w:pPr>
    </w:p>
    <w:p w14:paraId="73FB99E5" w14:textId="15678564" w:rsidR="00F52992" w:rsidRDefault="00B30FFD" w:rsidP="00DB5AD0">
      <w:pPr>
        <w:spacing w:after="0"/>
        <w:ind w:left="567" w:right="758"/>
        <w:jc w:val="both"/>
      </w:pPr>
      <w:r>
        <w:t xml:space="preserve">Se cotejaron la totalidad de los 69 legajos resguardados en el Archivo Histórico y se realizó inventario de los </w:t>
      </w:r>
      <w:r w:rsidR="00D93962">
        <w:t xml:space="preserve">19 </w:t>
      </w:r>
      <w:r>
        <w:t xml:space="preserve">depositados en el Archivo de Concentración. </w:t>
      </w:r>
      <w:r w:rsidR="00FE0348">
        <w:t xml:space="preserve">De estos </w:t>
      </w:r>
      <w:r w:rsidR="007E2A33">
        <w:t>legajos se realizó el listado total de cada uno de los ejemplares que se proponen para su baja documental, así como</w:t>
      </w:r>
      <w:r w:rsidR="00FE0348">
        <w:t xml:space="preserve"> </w:t>
      </w:r>
      <w:r w:rsidR="00FD6F13">
        <w:t>el</w:t>
      </w:r>
      <w:r w:rsidR="008C1C03">
        <w:t xml:space="preserve"> listado de los que se conservarían por tener </w:t>
      </w:r>
      <w:r w:rsidR="00FB7C55">
        <w:t xml:space="preserve">contener </w:t>
      </w:r>
      <w:r w:rsidR="00C2186C">
        <w:t>información relativa al Tribu</w:t>
      </w:r>
      <w:r w:rsidR="00AA1000">
        <w:t>nal.</w:t>
      </w:r>
    </w:p>
    <w:p w14:paraId="755D2A45" w14:textId="77777777" w:rsidR="00F52992" w:rsidRDefault="00F52992" w:rsidP="00DB5AD0">
      <w:pPr>
        <w:spacing w:after="0"/>
        <w:ind w:left="567" w:right="758"/>
        <w:jc w:val="both"/>
      </w:pPr>
    </w:p>
    <w:p w14:paraId="349195D4" w14:textId="3B73BE32" w:rsidR="00DB26BA" w:rsidRDefault="00B30FFD" w:rsidP="00DB5AD0">
      <w:pPr>
        <w:spacing w:after="0"/>
        <w:ind w:left="567" w:right="758"/>
        <w:jc w:val="both"/>
      </w:pPr>
      <w:r>
        <w:t>Al llevar a cabo la investigación respecto al área productora de la información y la forma en que ingresaron al Archivo Histórico, se identificó que hay ejemplares que remitió el Instituto de la Justicia Administrativa, a través de un oficio</w:t>
      </w:r>
      <w:r w:rsidR="000C35E1">
        <w:t xml:space="preserve">, mientras </w:t>
      </w:r>
      <w:r w:rsidR="0094059A">
        <w:t xml:space="preserve">que los primeros ejemplares </w:t>
      </w:r>
      <w:r w:rsidR="00A515BF">
        <w:t xml:space="preserve">se encuentran identificados </w:t>
      </w:r>
      <w:r w:rsidR="00DB26BA">
        <w:t>en la sección de la Secretaría General de Acuerdos.</w:t>
      </w:r>
    </w:p>
    <w:p w14:paraId="21A7E7F5" w14:textId="77777777" w:rsidR="00DB5AD0" w:rsidRPr="00DB5AD0" w:rsidRDefault="00DB5AD0" w:rsidP="00DB5AD0">
      <w:pPr>
        <w:spacing w:after="0"/>
        <w:ind w:left="567" w:right="758"/>
        <w:jc w:val="both"/>
      </w:pPr>
    </w:p>
    <w:p w14:paraId="5466BA47" w14:textId="54417BE6" w:rsidR="00F07FA8" w:rsidRPr="00DA5388" w:rsidRDefault="00656C1D" w:rsidP="001F7B7C">
      <w:pPr>
        <w:spacing w:after="0"/>
        <w:ind w:left="567" w:right="758"/>
        <w:jc w:val="both"/>
      </w:pPr>
      <w:r>
        <w:t>E</w:t>
      </w:r>
      <w:r w:rsidR="00B30FFD">
        <w:t>n el Reglamento Interior del Tribunal de lo Contencioso Administrativo</w:t>
      </w:r>
      <w:r w:rsidR="00A96AD2">
        <w:t>, vigente en la</w:t>
      </w:r>
      <w:r w:rsidR="000909E2">
        <w:t xml:space="preserve"> fecha en la que se integraron los legajos,</w:t>
      </w:r>
      <w:r w:rsidR="00B30FFD">
        <w:t xml:space="preserve"> se establecía la obligación de la Coordinación de Investigación y Biblioteca</w:t>
      </w:r>
      <w:r w:rsidR="00E56E35">
        <w:t>, adscrita al Instituto</w:t>
      </w:r>
      <w:r w:rsidR="00E16E31">
        <w:t>,</w:t>
      </w:r>
      <w:r w:rsidR="00B30FFD">
        <w:t xml:space="preserve"> de “Mantener  actualizado el acervo de las publicaciones oficiales periódicas, así como otras leyes, reglamentos, bandos, decretos y, demás disposiciones en materia administrativa y fiscal”, por lo que se visualiza la pertinencia de llevar a cabo el procedimiento </w:t>
      </w:r>
      <w:r w:rsidR="00CC6FEB">
        <w:t>de disposición documental</w:t>
      </w:r>
      <w:r w:rsidR="00B30FFD">
        <w:t xml:space="preserve"> para determinar el destino final de los ejemplares, involucrando </w:t>
      </w:r>
      <w:r w:rsidR="004B7FA5">
        <w:t>al</w:t>
      </w:r>
      <w:r w:rsidR="00B30FFD">
        <w:t xml:space="preserve"> área productora para ello, siendo una actividad a desarrollarse en una </w:t>
      </w:r>
      <w:r w:rsidR="00B30FFD" w:rsidRPr="007248A4">
        <w:t>siguiente etapa,</w:t>
      </w:r>
      <w:r w:rsidR="00B30FFD">
        <w:t xml:space="preserve"> ya que para el año 202</w:t>
      </w:r>
      <w:r w:rsidR="00974C0C">
        <w:t>5</w:t>
      </w:r>
      <w:r w:rsidR="00B30FFD">
        <w:t xml:space="preserve"> ya se tienen contemplados 8 procedimientos de esta índole</w:t>
      </w:r>
      <w:r w:rsidR="007A6190">
        <w:t xml:space="preserve">, principalmente de las áreas jurisdiccionales, por lo </w:t>
      </w:r>
      <w:r w:rsidR="002A0032">
        <w:t>tanto,</w:t>
      </w:r>
      <w:r w:rsidR="007A6190">
        <w:t xml:space="preserve"> se considera pertinente priorizar</w:t>
      </w:r>
      <w:r w:rsidR="001D0F08">
        <w:t xml:space="preserve"> los de dichas unidades productoras.</w:t>
      </w:r>
      <w:r w:rsidR="00F07FA8">
        <w:rPr>
          <w:rFonts w:cstheme="minorHAnsi"/>
          <w:b/>
          <w:lang w:val="es-MX"/>
        </w:rPr>
        <w:tab/>
      </w:r>
    </w:p>
    <w:p w14:paraId="466A3D33" w14:textId="77777777" w:rsidR="00F042B9" w:rsidRPr="00940DF9" w:rsidRDefault="00F042B9" w:rsidP="00BB5CC1">
      <w:pPr>
        <w:spacing w:after="0"/>
        <w:jc w:val="right"/>
        <w:rPr>
          <w:rFonts w:cstheme="minorHAnsi"/>
          <w:lang w:val="es-MX"/>
        </w:rPr>
      </w:pPr>
    </w:p>
    <w:p w14:paraId="09EE70D1" w14:textId="1873078A" w:rsidR="00F042B9" w:rsidRDefault="00F042B9" w:rsidP="00F042B9">
      <w:pPr>
        <w:spacing w:after="0"/>
        <w:rPr>
          <w:rFonts w:cstheme="minorHAnsi"/>
          <w:b/>
          <w:lang w:val="es-MX"/>
        </w:rPr>
      </w:pPr>
      <w:bookmarkStart w:id="3" w:name="_Hlk187931833"/>
      <w:r>
        <w:rPr>
          <w:rFonts w:cstheme="minorHAnsi"/>
          <w:lang w:val="es-MX"/>
        </w:rPr>
        <w:t xml:space="preserve">        </w:t>
      </w:r>
      <w:r w:rsidR="00F07FA8" w:rsidRPr="002E71DE">
        <w:rPr>
          <w:rFonts w:cstheme="minorHAnsi"/>
          <w:b/>
        </w:rPr>
        <w:t xml:space="preserve">Meta </w:t>
      </w:r>
      <w:r w:rsidRPr="002E71DE">
        <w:rPr>
          <w:rFonts w:cstheme="minorHAnsi"/>
          <w:b/>
        </w:rPr>
        <w:t>9</w:t>
      </w:r>
      <w:r w:rsidR="00F07FA8" w:rsidRPr="002E71DE">
        <w:rPr>
          <w:rFonts w:cstheme="minorHAnsi"/>
          <w:bCs/>
        </w:rPr>
        <w:t xml:space="preserve">: </w:t>
      </w:r>
      <w:r w:rsidRPr="002E71DE">
        <w:rPr>
          <w:rFonts w:cstheme="minorHAnsi"/>
          <w:bCs/>
          <w:lang w:val="es-MX"/>
        </w:rPr>
        <w:t>Mantener actualizado el calendario caducidades</w:t>
      </w:r>
      <w:r w:rsidR="00F07FA8">
        <w:rPr>
          <w:rFonts w:cstheme="minorHAnsi"/>
          <w:b/>
          <w:lang w:val="es-MX"/>
        </w:rPr>
        <w:tab/>
      </w:r>
      <w:r w:rsidR="00F07FA8">
        <w:rPr>
          <w:rFonts w:cstheme="minorHAnsi"/>
          <w:b/>
          <w:lang w:val="es-MX"/>
        </w:rPr>
        <w:tab/>
      </w:r>
      <w:r w:rsidR="00F07FA8">
        <w:rPr>
          <w:rFonts w:cstheme="minorHAnsi"/>
          <w:b/>
          <w:lang w:val="es-MX"/>
        </w:rPr>
        <w:tab/>
      </w:r>
      <w:r w:rsidR="00F07FA8">
        <w:rPr>
          <w:rFonts w:cstheme="minorHAnsi"/>
          <w:b/>
          <w:lang w:val="es-MX"/>
        </w:rPr>
        <w:tab/>
      </w:r>
    </w:p>
    <w:p w14:paraId="38B35031" w14:textId="3E4B28CB" w:rsidR="00BD6B85" w:rsidRPr="00DB5AD0" w:rsidRDefault="00F07FA8" w:rsidP="00DB5AD0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  <w:bookmarkEnd w:id="3"/>
    </w:p>
    <w:p w14:paraId="2DB41F00" w14:textId="77777777" w:rsidR="00A05FE8" w:rsidRDefault="00A05FE8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6E82954C" w14:textId="6E50D2CE" w:rsidR="00EC62F4" w:rsidRDefault="00BF33F4" w:rsidP="00CD0637">
      <w:pPr>
        <w:spacing w:after="0"/>
        <w:ind w:left="567" w:right="758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El calendario de caducidades es una herramienta utilizada para gestionar la vida útil de los expedientes que se resguardan en un archivo</w:t>
      </w:r>
      <w:r w:rsidR="00891976">
        <w:rPr>
          <w:rFonts w:cstheme="minorHAnsi"/>
          <w:lang w:val="es-MX"/>
        </w:rPr>
        <w:t>, es decir, nos ayuda a identificar qué expedientes han concluido sus plazos de conservación.</w:t>
      </w:r>
    </w:p>
    <w:p w14:paraId="026BCC13" w14:textId="77777777" w:rsidR="00891976" w:rsidRDefault="00891976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6ED6C243" w14:textId="03FB32E2" w:rsidR="00891976" w:rsidRDefault="00891976" w:rsidP="00CD0637">
      <w:pPr>
        <w:spacing w:after="0"/>
        <w:ind w:left="567" w:right="758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Desde 2023 se implementó en el archivo de concentración del Tribunal de Justicia Administrativa del Estado de Guanajuato </w:t>
      </w:r>
      <w:r w:rsidR="000F4CA5">
        <w:rPr>
          <w:rFonts w:cstheme="minorHAnsi"/>
          <w:lang w:val="es-MX"/>
        </w:rPr>
        <w:t>un calendario de caducidades</w:t>
      </w:r>
      <w:r w:rsidR="00C42F1B">
        <w:rPr>
          <w:rFonts w:cstheme="minorHAnsi"/>
          <w:lang w:val="es-MX"/>
        </w:rPr>
        <w:t xml:space="preserve">. Este calendario se </w:t>
      </w:r>
      <w:r w:rsidR="00820CDD">
        <w:rPr>
          <w:rFonts w:cstheme="minorHAnsi"/>
          <w:lang w:val="es-MX"/>
        </w:rPr>
        <w:t>alimenta</w:t>
      </w:r>
      <w:r w:rsidR="00C42F1B">
        <w:rPr>
          <w:rFonts w:cstheme="minorHAnsi"/>
          <w:lang w:val="es-MX"/>
        </w:rPr>
        <w:t xml:space="preserve"> a la par que la </w:t>
      </w:r>
      <w:r w:rsidR="001255AB">
        <w:rPr>
          <w:rFonts w:cstheme="minorHAnsi"/>
          <w:lang w:val="es-MX"/>
        </w:rPr>
        <w:t>b</w:t>
      </w:r>
      <w:r w:rsidR="00C42F1B">
        <w:rPr>
          <w:rFonts w:cstheme="minorHAnsi"/>
          <w:lang w:val="es-MX"/>
        </w:rPr>
        <w:t xml:space="preserve">itácora de transferencias primarias, </w:t>
      </w:r>
      <w:r w:rsidR="00516FFF">
        <w:rPr>
          <w:rFonts w:cstheme="minorHAnsi"/>
          <w:lang w:val="es-MX"/>
        </w:rPr>
        <w:t xml:space="preserve">pues el objetivo principal de este calendario es optimizar el espacio en el archivo de concentración, </w:t>
      </w:r>
      <w:r w:rsidR="00AF759A">
        <w:rPr>
          <w:rFonts w:cstheme="minorHAnsi"/>
          <w:lang w:val="es-MX"/>
        </w:rPr>
        <w:t>garantizando con ello que se cumplan los requisitos legales y norma</w:t>
      </w:r>
      <w:r w:rsidR="00A43F7B">
        <w:rPr>
          <w:rFonts w:cstheme="minorHAnsi"/>
          <w:lang w:val="es-MX"/>
        </w:rPr>
        <w:t xml:space="preserve">tivos de los expedientes. Es por esta razón </w:t>
      </w:r>
      <w:r w:rsidR="00D466C1">
        <w:rPr>
          <w:rFonts w:cstheme="minorHAnsi"/>
          <w:lang w:val="es-MX"/>
        </w:rPr>
        <w:t>que,</w:t>
      </w:r>
      <w:r w:rsidR="00A43F7B">
        <w:rPr>
          <w:rFonts w:cstheme="minorHAnsi"/>
          <w:lang w:val="es-MX"/>
        </w:rPr>
        <w:t xml:space="preserve"> durante la presente anualidad, se actualizaron 26 registros </w:t>
      </w:r>
      <w:r w:rsidR="00240F21">
        <w:rPr>
          <w:rFonts w:cstheme="minorHAnsi"/>
          <w:lang w:val="es-MX"/>
        </w:rPr>
        <w:t>dentro del calendario de caducidades</w:t>
      </w:r>
      <w:r w:rsidR="002E71DE">
        <w:rPr>
          <w:rFonts w:cstheme="minorHAnsi"/>
          <w:lang w:val="es-MX"/>
        </w:rPr>
        <w:t>.</w:t>
      </w:r>
    </w:p>
    <w:p w14:paraId="208E8CE4" w14:textId="77777777" w:rsidR="00D9729D" w:rsidRDefault="00D9729D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33801B4F" w14:textId="77777777" w:rsidR="00D9729D" w:rsidRDefault="00D9729D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2C4D4B91" w14:textId="75EB4077" w:rsidR="00D9729D" w:rsidRDefault="00D9729D" w:rsidP="00D9729D">
      <w:pPr>
        <w:spacing w:after="0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    </w:t>
      </w:r>
      <w:r w:rsidRPr="00DB5AD0">
        <w:rPr>
          <w:rFonts w:cstheme="minorHAnsi"/>
          <w:b/>
        </w:rPr>
        <w:t>Meta 10</w:t>
      </w:r>
      <w:r w:rsidRPr="00DB5AD0">
        <w:rPr>
          <w:rFonts w:cstheme="minorHAnsi"/>
        </w:rPr>
        <w:t xml:space="preserve">: </w:t>
      </w:r>
      <w:r w:rsidR="0044595A" w:rsidRPr="00DB5AD0">
        <w:rPr>
          <w:rFonts w:cstheme="minorHAnsi"/>
          <w:lang w:val="es-MX"/>
        </w:rPr>
        <w:t>Dar seguimiento al Desarrollo del software para el Sistema de Gestión Documental</w:t>
      </w:r>
    </w:p>
    <w:p w14:paraId="2C58C8BA" w14:textId="77777777" w:rsidR="00D9729D" w:rsidRDefault="00D9729D" w:rsidP="00D9729D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</w:p>
    <w:p w14:paraId="5EBBA058" w14:textId="77777777" w:rsidR="00DB5AD0" w:rsidRDefault="00DB5AD0" w:rsidP="00DA7855">
      <w:pPr>
        <w:spacing w:after="0"/>
        <w:jc w:val="both"/>
        <w:rPr>
          <w:rFonts w:cstheme="minorHAnsi"/>
          <w:bCs/>
          <w:lang w:val="es-MX"/>
        </w:rPr>
      </w:pPr>
    </w:p>
    <w:p w14:paraId="42B2A5DA" w14:textId="4BB22218" w:rsidR="00D9729D" w:rsidRDefault="00DB5AD0" w:rsidP="00CD0637">
      <w:pPr>
        <w:spacing w:after="0"/>
        <w:ind w:left="567" w:right="758"/>
        <w:jc w:val="both"/>
        <w:rPr>
          <w:rFonts w:cstheme="minorHAnsi"/>
          <w:lang w:val="es-MX"/>
        </w:rPr>
      </w:pPr>
      <w:r w:rsidRPr="00DB5AD0">
        <w:rPr>
          <w:rFonts w:cstheme="minorHAnsi"/>
          <w:bCs/>
          <w:lang w:val="es-MX"/>
        </w:rPr>
        <w:t>Con fecha 27 de junio de 2024</w:t>
      </w:r>
      <w:r>
        <w:rPr>
          <w:rFonts w:cstheme="minorHAnsi"/>
          <w:bCs/>
          <w:lang w:val="es-MX"/>
        </w:rPr>
        <w:t>, la Coordinación de Informática de este Tribunal hace entrega de</w:t>
      </w:r>
      <w:r w:rsidR="00DA7855">
        <w:rPr>
          <w:rFonts w:cstheme="minorHAnsi"/>
          <w:bCs/>
          <w:lang w:val="es-MX"/>
        </w:rPr>
        <w:t xml:space="preserve"> </w:t>
      </w:r>
      <w:r w:rsidR="00A7430D">
        <w:rPr>
          <w:rFonts w:cstheme="minorHAnsi"/>
          <w:bCs/>
          <w:lang w:val="es-MX"/>
        </w:rPr>
        <w:t xml:space="preserve">la </w:t>
      </w:r>
      <w:r w:rsidR="00DA7855">
        <w:rPr>
          <w:rFonts w:cstheme="minorHAnsi"/>
          <w:bCs/>
          <w:lang w:val="es-MX"/>
        </w:rPr>
        <w:t>primera etapa de</w:t>
      </w:r>
      <w:r>
        <w:rPr>
          <w:rFonts w:cstheme="minorHAnsi"/>
          <w:bCs/>
          <w:lang w:val="es-MX"/>
        </w:rPr>
        <w:t>l</w:t>
      </w:r>
      <w:r w:rsidR="006A462C">
        <w:rPr>
          <w:rFonts w:cstheme="minorHAnsi"/>
          <w:bCs/>
          <w:lang w:val="es-MX"/>
        </w:rPr>
        <w:t xml:space="preserve"> Sistema de Gestión Documental</w:t>
      </w:r>
      <w:r>
        <w:rPr>
          <w:rFonts w:cstheme="minorHAnsi"/>
          <w:bCs/>
          <w:lang w:val="es-MX"/>
        </w:rPr>
        <w:t xml:space="preserve">, </w:t>
      </w:r>
      <w:r w:rsidR="00DA7855">
        <w:rPr>
          <w:rFonts w:cstheme="minorHAnsi"/>
          <w:bCs/>
          <w:lang w:val="es-MX"/>
        </w:rPr>
        <w:t>por lo que la actividad de “</w:t>
      </w:r>
      <w:r w:rsidR="00DA7855" w:rsidRPr="00DA7855">
        <w:rPr>
          <w:rFonts w:cstheme="minorHAnsi"/>
          <w:bCs/>
          <w:lang w:val="es-MX"/>
        </w:rPr>
        <w:t>Establecer comunicación con la Coordinación de Informática para solicitar informe de avances</w:t>
      </w:r>
      <w:r w:rsidR="00DA7855">
        <w:rPr>
          <w:rFonts w:cstheme="minorHAnsi"/>
          <w:bCs/>
          <w:lang w:val="es-MX"/>
        </w:rPr>
        <w:t xml:space="preserve">” planeada para los meses de julio y septiembre queda </w:t>
      </w:r>
      <w:r w:rsidR="00986821">
        <w:rPr>
          <w:rFonts w:cstheme="minorHAnsi"/>
          <w:bCs/>
          <w:lang w:val="es-MX"/>
        </w:rPr>
        <w:t xml:space="preserve">sin efectos. Sin embargo, si documentaron </w:t>
      </w:r>
      <w:r w:rsidR="00DA7855">
        <w:rPr>
          <w:rFonts w:cstheme="minorHAnsi"/>
          <w:bCs/>
          <w:lang w:val="es-MX"/>
        </w:rPr>
        <w:t>las comunicaciones con la Coordinación de Informática durante este periodo</w:t>
      </w:r>
      <w:r w:rsidR="00420179">
        <w:rPr>
          <w:rFonts w:cstheme="minorHAnsi"/>
          <w:bCs/>
          <w:lang w:val="es-MX"/>
        </w:rPr>
        <w:t>, las cuales están rel</w:t>
      </w:r>
      <w:r w:rsidR="00DA7855">
        <w:rPr>
          <w:rFonts w:cstheme="minorHAnsi"/>
          <w:bCs/>
          <w:lang w:val="es-MX"/>
        </w:rPr>
        <w:t>aciona</w:t>
      </w:r>
      <w:r w:rsidR="00420179">
        <w:rPr>
          <w:rFonts w:cstheme="minorHAnsi"/>
          <w:bCs/>
          <w:lang w:val="es-MX"/>
        </w:rPr>
        <w:t>das con</w:t>
      </w:r>
      <w:r w:rsidR="00DA7855">
        <w:rPr>
          <w:rFonts w:cstheme="minorHAnsi"/>
          <w:bCs/>
          <w:lang w:val="es-MX"/>
        </w:rPr>
        <w:t xml:space="preserve"> la presentación de</w:t>
      </w:r>
      <w:r w:rsidR="003C3611">
        <w:rPr>
          <w:rFonts w:cstheme="minorHAnsi"/>
          <w:bCs/>
          <w:lang w:val="es-MX"/>
        </w:rPr>
        <w:t>l Sistema</w:t>
      </w:r>
      <w:r w:rsidR="00EA2417">
        <w:rPr>
          <w:rFonts w:cstheme="minorHAnsi"/>
          <w:bCs/>
          <w:lang w:val="es-MX"/>
        </w:rPr>
        <w:t xml:space="preserve"> </w:t>
      </w:r>
      <w:r w:rsidR="00DA7855">
        <w:rPr>
          <w:rFonts w:cstheme="minorHAnsi"/>
          <w:bCs/>
          <w:lang w:val="es-MX"/>
        </w:rPr>
        <w:t xml:space="preserve">al personal que será usuario de </w:t>
      </w:r>
      <w:r w:rsidR="00FC711C">
        <w:rPr>
          <w:rFonts w:cstheme="minorHAnsi"/>
          <w:bCs/>
          <w:lang w:val="es-MX"/>
        </w:rPr>
        <w:t>este,</w:t>
      </w:r>
      <w:r w:rsidR="00DA7855">
        <w:rPr>
          <w:rFonts w:cstheme="minorHAnsi"/>
          <w:bCs/>
          <w:lang w:val="es-MX"/>
        </w:rPr>
        <w:t xml:space="preserve"> la solicitud de</w:t>
      </w:r>
      <w:r w:rsidR="00EA2417">
        <w:rPr>
          <w:rFonts w:cstheme="minorHAnsi"/>
          <w:bCs/>
          <w:lang w:val="es-MX"/>
        </w:rPr>
        <w:t xml:space="preserve"> habilitación de</w:t>
      </w:r>
      <w:r w:rsidR="00DA7855">
        <w:rPr>
          <w:rFonts w:cstheme="minorHAnsi"/>
          <w:bCs/>
          <w:lang w:val="es-MX"/>
        </w:rPr>
        <w:t xml:space="preserve"> acceso para </w:t>
      </w:r>
      <w:r w:rsidR="00EA2417">
        <w:rPr>
          <w:rFonts w:cstheme="minorHAnsi"/>
          <w:bCs/>
          <w:lang w:val="es-MX"/>
        </w:rPr>
        <w:t xml:space="preserve">el personal que </w:t>
      </w:r>
      <w:r w:rsidR="00506D27">
        <w:rPr>
          <w:rFonts w:cstheme="minorHAnsi"/>
          <w:bCs/>
          <w:lang w:val="es-MX"/>
        </w:rPr>
        <w:t>involucrado en los procesos técnicos archivísticos</w:t>
      </w:r>
      <w:r w:rsidR="00DA7855">
        <w:rPr>
          <w:rFonts w:cstheme="minorHAnsi"/>
          <w:bCs/>
          <w:lang w:val="es-MX"/>
        </w:rPr>
        <w:t xml:space="preserve"> y solicitudes de atención de incidencias del </w:t>
      </w:r>
      <w:r w:rsidR="005A6B50">
        <w:rPr>
          <w:rFonts w:cstheme="minorHAnsi"/>
          <w:bCs/>
          <w:lang w:val="es-MX"/>
        </w:rPr>
        <w:t xml:space="preserve">software </w:t>
      </w:r>
      <w:r w:rsidR="00DA7855">
        <w:rPr>
          <w:rFonts w:cstheme="minorHAnsi"/>
          <w:bCs/>
          <w:lang w:val="es-MX"/>
        </w:rPr>
        <w:t>en mención</w:t>
      </w:r>
      <w:r w:rsidR="00FC711C">
        <w:rPr>
          <w:rFonts w:cstheme="minorHAnsi"/>
          <w:bCs/>
          <w:lang w:val="es-MX"/>
        </w:rPr>
        <w:t>, documentos de evidencian el seguimiento a</w:t>
      </w:r>
      <w:r w:rsidR="006174F8">
        <w:rPr>
          <w:rFonts w:cstheme="minorHAnsi"/>
          <w:bCs/>
          <w:lang w:val="es-MX"/>
        </w:rPr>
        <w:t xml:space="preserve"> este proyecto.</w:t>
      </w:r>
    </w:p>
    <w:p w14:paraId="19FCA259" w14:textId="77777777" w:rsidR="00D9729D" w:rsidRDefault="00D9729D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1CDA8C1F" w14:textId="77777777" w:rsidR="00D9729D" w:rsidRDefault="00D9729D" w:rsidP="00CD0637">
      <w:pPr>
        <w:spacing w:after="0"/>
        <w:ind w:left="567" w:right="758"/>
        <w:jc w:val="both"/>
        <w:rPr>
          <w:rFonts w:cstheme="minorHAnsi"/>
          <w:lang w:val="es-MX"/>
        </w:rPr>
      </w:pPr>
    </w:p>
    <w:p w14:paraId="5B4A5DEC" w14:textId="63C1DFA5" w:rsidR="001B13E8" w:rsidRPr="0000596D" w:rsidRDefault="001B13E8" w:rsidP="001B13E8">
      <w:pPr>
        <w:spacing w:after="0"/>
        <w:jc w:val="both"/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</w:rPr>
      </w:pP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 xml:space="preserve">Línea estratégica 2.- </w:t>
      </w:r>
      <w:r w:rsidR="0038745B"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Fortalecimiento del Sistema Institucional de Archivos</w:t>
      </w: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.</w:t>
      </w:r>
    </w:p>
    <w:p w14:paraId="4F021DA5" w14:textId="7B22BD67" w:rsidR="001B13E8" w:rsidRDefault="001B13E8" w:rsidP="001B13E8">
      <w:pPr>
        <w:spacing w:after="0"/>
        <w:jc w:val="both"/>
        <w:rPr>
          <w:rFonts w:cstheme="minorHAnsi"/>
          <w:bCs/>
        </w:rPr>
      </w:pPr>
      <w:r w:rsidRPr="00E563E2">
        <w:rPr>
          <w:rFonts w:cstheme="minorHAnsi"/>
          <w:b/>
          <w:bCs/>
          <w:lang w:val="es-MX"/>
        </w:rPr>
        <w:t>Objetivo</w:t>
      </w:r>
      <w:r w:rsidRPr="008B758B">
        <w:rPr>
          <w:rFonts w:cstheme="minorHAnsi"/>
          <w:lang w:val="es-MX"/>
        </w:rPr>
        <w:t xml:space="preserve">: </w:t>
      </w:r>
      <w:r w:rsidR="0039532B" w:rsidRPr="008B758B">
        <w:rPr>
          <w:rFonts w:cstheme="minorHAnsi"/>
        </w:rPr>
        <w:t>Proveer de los instrumentos y herramientas necesarias para la correcta aplicación de la gestión documental</w:t>
      </w:r>
      <w:r>
        <w:rPr>
          <w:rFonts w:cstheme="minorHAnsi"/>
          <w:lang w:val="es-MX"/>
        </w:rPr>
        <w:t>.</w:t>
      </w:r>
      <w:r w:rsidR="0039532B">
        <w:rPr>
          <w:rFonts w:cstheme="minorHAnsi"/>
          <w:lang w:val="es-MX"/>
        </w:rPr>
        <w:t xml:space="preserve"> </w:t>
      </w:r>
      <w:r w:rsidR="0039532B">
        <w:rPr>
          <w:rFonts w:cstheme="minorHAnsi"/>
          <w:lang w:val="es-MX"/>
        </w:rPr>
        <w:tab/>
      </w:r>
      <w:r w:rsidR="0039532B">
        <w:rPr>
          <w:rFonts w:cstheme="minorHAnsi"/>
          <w:lang w:val="es-MX"/>
        </w:rPr>
        <w:tab/>
      </w:r>
      <w:r w:rsidR="0039532B">
        <w:rPr>
          <w:rFonts w:cstheme="minorHAnsi"/>
          <w:lang w:val="es-MX"/>
        </w:rPr>
        <w:tab/>
      </w:r>
      <w:r w:rsidR="0039532B">
        <w:rPr>
          <w:rFonts w:cstheme="minorHAnsi"/>
          <w:lang w:val="es-MX"/>
        </w:rPr>
        <w:tab/>
      </w:r>
      <w:r w:rsidR="0039532B">
        <w:rPr>
          <w:rFonts w:cstheme="minorHAnsi"/>
          <w:lang w:val="es-MX"/>
        </w:rPr>
        <w:tab/>
      </w:r>
      <w:r w:rsidR="0039532B">
        <w:rPr>
          <w:rFonts w:cstheme="minorHAnsi"/>
          <w:lang w:val="es-MX"/>
        </w:rPr>
        <w:tab/>
      </w:r>
    </w:p>
    <w:p w14:paraId="09ECF4E5" w14:textId="77777777" w:rsidR="009E0AC6" w:rsidRDefault="009E0AC6" w:rsidP="009E0AC6">
      <w:pPr>
        <w:spacing w:after="0"/>
        <w:jc w:val="both"/>
        <w:rPr>
          <w:rFonts w:cstheme="minorHAnsi"/>
        </w:rPr>
      </w:pPr>
    </w:p>
    <w:p w14:paraId="2BD49E88" w14:textId="77777777" w:rsidR="00A776DE" w:rsidRDefault="0099571D" w:rsidP="009E0AC6">
      <w:pPr>
        <w:spacing w:after="0"/>
        <w:jc w:val="both"/>
        <w:rPr>
          <w:rFonts w:cstheme="minorHAnsi"/>
          <w:b/>
        </w:rPr>
      </w:pPr>
      <w:r w:rsidRPr="0099571D">
        <w:rPr>
          <w:rFonts w:cstheme="minorHAnsi"/>
          <w:b/>
        </w:rPr>
        <w:t xml:space="preserve">Meta </w:t>
      </w:r>
      <w:r w:rsidR="00F12CEC">
        <w:rPr>
          <w:rFonts w:cstheme="minorHAnsi"/>
          <w:b/>
        </w:rPr>
        <w:t>1</w:t>
      </w:r>
      <w:r w:rsidRPr="0099571D">
        <w:rPr>
          <w:rFonts w:cstheme="minorHAnsi"/>
          <w:bCs/>
        </w:rPr>
        <w:t>: Actualizar los instrumentos de control archivístico.</w:t>
      </w:r>
      <w:r w:rsidRPr="0099571D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</w:p>
    <w:p w14:paraId="627BAB10" w14:textId="7EC6CDDD" w:rsidR="009E0AC6" w:rsidRPr="0099571D" w:rsidRDefault="0099571D" w:rsidP="00A776DE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</w:p>
    <w:p w14:paraId="6CFE3146" w14:textId="77777777" w:rsidR="009E0AC6" w:rsidRDefault="009E0AC6" w:rsidP="009E0AC6">
      <w:pPr>
        <w:spacing w:after="0"/>
        <w:jc w:val="both"/>
        <w:rPr>
          <w:rFonts w:cstheme="minorHAnsi"/>
        </w:rPr>
      </w:pPr>
    </w:p>
    <w:p w14:paraId="76515AC4" w14:textId="018FC3CB" w:rsidR="009E787F" w:rsidRDefault="009E787F" w:rsidP="00DB5AD0">
      <w:pPr>
        <w:spacing w:after="0"/>
        <w:ind w:left="567" w:right="758"/>
        <w:jc w:val="both"/>
      </w:pPr>
      <w:r w:rsidRPr="00DB5AD0">
        <w:rPr>
          <w:rFonts w:cstheme="minorHAnsi"/>
          <w:lang w:val="es-MX"/>
        </w:rPr>
        <w:t>Derivado</w:t>
      </w:r>
      <w:r>
        <w:t xml:space="preserve"> de las</w:t>
      </w:r>
      <w:r w:rsidR="00100CB5">
        <w:t xml:space="preserve"> 10</w:t>
      </w:r>
      <w:r>
        <w:t xml:space="preserve"> solicitudes de creación, </w:t>
      </w:r>
      <w:r w:rsidR="00100CB5">
        <w:t xml:space="preserve">21 de </w:t>
      </w:r>
      <w:r>
        <w:t>modificación y</w:t>
      </w:r>
      <w:r w:rsidR="00100CB5">
        <w:t xml:space="preserve"> 2 de</w:t>
      </w:r>
      <w:r>
        <w:t xml:space="preserve"> eliminación de series y subseries propuestas por las unidades productoras, se llevó a cabo el análisis de cada una de ellas para la realización de las </w:t>
      </w:r>
      <w:r w:rsidR="009E1326">
        <w:t>f</w:t>
      </w:r>
      <w:r>
        <w:t>ichas técnicas de valoración documental a presentar al Grupo Interdisciplinario, realizando las observaciones y recomendaciones pertinentes.</w:t>
      </w:r>
    </w:p>
    <w:p w14:paraId="0FADFFBE" w14:textId="77777777" w:rsidR="00DB5AD0" w:rsidRDefault="00DB5AD0" w:rsidP="00DB5AD0">
      <w:pPr>
        <w:spacing w:after="0"/>
        <w:ind w:left="567" w:right="758"/>
        <w:jc w:val="both"/>
      </w:pPr>
    </w:p>
    <w:p w14:paraId="2A13FDED" w14:textId="312EE67F" w:rsidR="009E787F" w:rsidRDefault="009E787F" w:rsidP="00DB5AD0">
      <w:pPr>
        <w:spacing w:after="0"/>
        <w:ind w:left="567" w:right="758"/>
        <w:jc w:val="both"/>
      </w:pPr>
      <w:r w:rsidRPr="00DB5AD0">
        <w:rPr>
          <w:rFonts w:cstheme="minorHAnsi"/>
          <w:lang w:val="es-MX"/>
        </w:rPr>
        <w:t>Una</w:t>
      </w:r>
      <w:r>
        <w:t xml:space="preserve"> vez teniendo las versiones </w:t>
      </w:r>
      <w:r w:rsidR="00CB3431">
        <w:t xml:space="preserve">actualizadas </w:t>
      </w:r>
      <w:r>
        <w:t xml:space="preserve">de las </w:t>
      </w:r>
      <w:r w:rsidR="00406338">
        <w:t>f</w:t>
      </w:r>
      <w:r>
        <w:t xml:space="preserve">ichas técnicas, se convocó a sesión del Grupo Interdisciplinario el día 21 de octubre para el análisis y aprobación de las fichas; durante esta sesión se recomendó </w:t>
      </w:r>
      <w:r w:rsidR="003E10ED">
        <w:t>reconsiderar la</w:t>
      </w:r>
      <w:r>
        <w:t xml:space="preserve"> propuesta </w:t>
      </w:r>
      <w:r w:rsidR="004D7789">
        <w:t>de</w:t>
      </w:r>
      <w:r>
        <w:t xml:space="preserve"> elimina</w:t>
      </w:r>
      <w:r w:rsidR="004D7789">
        <w:t>ción de una serie de la Coordinación de Recursos Materiales y Servicios Generales</w:t>
      </w:r>
      <w:r>
        <w:t xml:space="preserve">, debido a la información </w:t>
      </w:r>
      <w:r w:rsidR="00B87177">
        <w:t>que contienen l</w:t>
      </w:r>
      <w:r>
        <w:t xml:space="preserve">os expedientes y la utilidad de </w:t>
      </w:r>
      <w:r w:rsidR="00C04559">
        <w:t>ésta</w:t>
      </w:r>
      <w:r>
        <w:t xml:space="preserve"> para consulta y cumplimiento a la normativa aplicable.</w:t>
      </w:r>
    </w:p>
    <w:p w14:paraId="1BFE8D5B" w14:textId="77777777" w:rsidR="00DB5AD0" w:rsidRDefault="00DB5AD0" w:rsidP="00DB5AD0">
      <w:pPr>
        <w:spacing w:after="0"/>
        <w:ind w:left="567" w:right="758"/>
        <w:jc w:val="both"/>
      </w:pPr>
    </w:p>
    <w:p w14:paraId="5C013627" w14:textId="1EBCF00B" w:rsidR="009E787F" w:rsidRDefault="009E787F" w:rsidP="00DB5AD0">
      <w:pPr>
        <w:spacing w:after="0"/>
        <w:ind w:left="567" w:right="758"/>
        <w:jc w:val="both"/>
      </w:pPr>
      <w:r w:rsidRPr="00DB5AD0">
        <w:rPr>
          <w:rFonts w:cstheme="minorHAnsi"/>
          <w:lang w:val="es-MX"/>
        </w:rPr>
        <w:t>En</w:t>
      </w:r>
      <w:r>
        <w:t xml:space="preserve"> ese sentido, se llevó a cabo una sesión extraordinaria del Grupo el día 5 de noviembre </w:t>
      </w:r>
      <w:r w:rsidR="00B546D0">
        <w:t xml:space="preserve">en la que se </w:t>
      </w:r>
      <w:r w:rsidR="009E382F">
        <w:t xml:space="preserve">determinó </w:t>
      </w:r>
      <w:r w:rsidR="00510FE4">
        <w:t>no</w:t>
      </w:r>
      <w:r w:rsidR="009E382F">
        <w:t xml:space="preserve"> eliminar la serie</w:t>
      </w:r>
      <w:r w:rsidR="00536B60">
        <w:t xml:space="preserve"> y lugar de ello</w:t>
      </w:r>
      <w:r w:rsidR="00AF0AF1">
        <w:t xml:space="preserve">, </w:t>
      </w:r>
      <w:r w:rsidR="009E382F">
        <w:t>realizar</w:t>
      </w:r>
      <w:r>
        <w:t xml:space="preserve"> modificación </w:t>
      </w:r>
      <w:r w:rsidR="00F37671">
        <w:t>a la misma</w:t>
      </w:r>
      <w:r>
        <w:t>,</w:t>
      </w:r>
      <w:r w:rsidR="00D860F7">
        <w:t xml:space="preserve"> así, se analizó la propuesta de modificación </w:t>
      </w:r>
      <w:r w:rsidR="00F37671">
        <w:t xml:space="preserve">de la serie documental </w:t>
      </w:r>
      <w:r w:rsidR="00D860F7">
        <w:t>y</w:t>
      </w:r>
      <w:r>
        <w:t xml:space="preserve"> </w:t>
      </w:r>
      <w:r w:rsidR="00027067">
        <w:t>fue</w:t>
      </w:r>
      <w:r>
        <w:t xml:space="preserve"> aprobada</w:t>
      </w:r>
      <w:r w:rsidR="00027067">
        <w:t>. En ese sentido,</w:t>
      </w:r>
      <w:r>
        <w:t xml:space="preserve"> las versiones actualizadas de los Instrumentos</w:t>
      </w:r>
      <w:r w:rsidR="002942DC">
        <w:t xml:space="preserve"> de control archivístico</w:t>
      </w:r>
      <w:r>
        <w:t xml:space="preserve"> se remitieron al Consejo Administrativo del Tribunal para su aprobación</w:t>
      </w:r>
      <w:r w:rsidR="00A151BA">
        <w:t xml:space="preserve">. Dicho órgano colegiado </w:t>
      </w:r>
      <w:r w:rsidR="0050181A">
        <w:t xml:space="preserve">en sesión ordinaria celebrada </w:t>
      </w:r>
      <w:r>
        <w:t>el día 7 de noviembre</w:t>
      </w:r>
      <w:r w:rsidR="00216459">
        <w:t xml:space="preserve"> de 2024</w:t>
      </w:r>
      <w:r>
        <w:t xml:space="preserve">, </w:t>
      </w:r>
      <w:r w:rsidR="0066020D">
        <w:t>aprobó los instrumentos</w:t>
      </w:r>
      <w:r>
        <w:t>.</w:t>
      </w:r>
    </w:p>
    <w:p w14:paraId="12BE90EA" w14:textId="77777777" w:rsidR="009E0AC6" w:rsidRDefault="009E0AC6" w:rsidP="00EB7FD3">
      <w:pPr>
        <w:spacing w:after="0"/>
        <w:rPr>
          <w:rFonts w:cstheme="minorHAnsi"/>
          <w:b/>
        </w:rPr>
      </w:pPr>
    </w:p>
    <w:p w14:paraId="6354EF56" w14:textId="67C783D4" w:rsidR="00AD3DE2" w:rsidRPr="00AD3DE2" w:rsidRDefault="00AD3DE2" w:rsidP="00AD3DE2">
      <w:pPr>
        <w:spacing w:after="0"/>
        <w:jc w:val="both"/>
        <w:rPr>
          <w:rFonts w:cstheme="minorHAnsi"/>
          <w:b/>
        </w:rPr>
      </w:pPr>
      <w:r w:rsidRPr="00AD3DE2">
        <w:rPr>
          <w:rFonts w:cstheme="minorHAnsi"/>
          <w:b/>
        </w:rPr>
        <w:t xml:space="preserve">Meta </w:t>
      </w:r>
      <w:r w:rsidR="00EB7FD3">
        <w:rPr>
          <w:rFonts w:cstheme="minorHAnsi"/>
          <w:b/>
        </w:rPr>
        <w:t>2</w:t>
      </w:r>
      <w:r w:rsidRPr="00AD3DE2">
        <w:rPr>
          <w:rFonts w:cstheme="minorHAnsi"/>
          <w:bCs/>
        </w:rPr>
        <w:t>: Refrendar la inscripción en el Registro Nacional de Archivos.</w:t>
      </w:r>
    </w:p>
    <w:p w14:paraId="4B32496D" w14:textId="1E584DB9" w:rsidR="00AD3DE2" w:rsidRPr="008B758B" w:rsidRDefault="00AD3DE2" w:rsidP="00AD3DE2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</w:p>
    <w:p w14:paraId="1FCB3F57" w14:textId="77777777" w:rsidR="009E0AC6" w:rsidRPr="008B758B" w:rsidRDefault="009E0AC6" w:rsidP="009E0AC6">
      <w:pPr>
        <w:spacing w:after="0"/>
        <w:jc w:val="center"/>
        <w:rPr>
          <w:rFonts w:cstheme="minorHAnsi"/>
          <w:b/>
        </w:rPr>
      </w:pPr>
    </w:p>
    <w:p w14:paraId="5349A7CC" w14:textId="4A7C7193" w:rsidR="009E0AC6" w:rsidRDefault="00DA7855" w:rsidP="00DB5AD0">
      <w:pPr>
        <w:spacing w:after="0"/>
        <w:ind w:left="567" w:right="758"/>
        <w:jc w:val="both"/>
        <w:rPr>
          <w:kern w:val="2"/>
          <w:lang w:val="es-MX"/>
          <w14:ligatures w14:val="standardContextual"/>
        </w:rPr>
      </w:pPr>
      <w:r>
        <w:rPr>
          <w:kern w:val="2"/>
          <w:lang w:val="es-MX"/>
          <w14:ligatures w14:val="standardContextual"/>
        </w:rPr>
        <w:t xml:space="preserve">El día 27 de mayo se llevó a cabo </w:t>
      </w:r>
      <w:r w:rsidR="00181EA4">
        <w:rPr>
          <w:kern w:val="2"/>
          <w:lang w:val="es-MX"/>
          <w14:ligatures w14:val="standardContextual"/>
        </w:rPr>
        <w:t>el refrendo</w:t>
      </w:r>
      <w:r>
        <w:rPr>
          <w:kern w:val="2"/>
          <w:lang w:val="es-MX"/>
          <w14:ligatures w14:val="standardContextual"/>
        </w:rPr>
        <w:t xml:space="preserve"> en el Registro Nacional de Archivos el SIA del Tribunal, a</w:t>
      </w:r>
      <w:r w:rsidR="009E0AC6">
        <w:rPr>
          <w:kern w:val="2"/>
          <w:lang w:val="es-MX"/>
          <w14:ligatures w14:val="standardContextual"/>
        </w:rPr>
        <w:t xml:space="preserve"> través de la </w:t>
      </w:r>
      <w:r w:rsidR="009152EC">
        <w:rPr>
          <w:kern w:val="2"/>
          <w:lang w:val="es-MX"/>
          <w14:ligatures w14:val="standardContextual"/>
        </w:rPr>
        <w:t>plataforma</w:t>
      </w:r>
      <w:r w:rsidR="009E0AC6" w:rsidRPr="00684268">
        <w:rPr>
          <w:kern w:val="2"/>
          <w:lang w:val="es-MX"/>
          <w14:ligatures w14:val="standardContextual"/>
        </w:rPr>
        <w:t xml:space="preserve"> informática administrada por el Archivo General de la Nación</w:t>
      </w:r>
      <w:r>
        <w:rPr>
          <w:kern w:val="2"/>
          <w:lang w:val="es-MX"/>
          <w14:ligatures w14:val="standardContextual"/>
        </w:rPr>
        <w:t>, obteniendo la constancia correspondiente.</w:t>
      </w:r>
    </w:p>
    <w:p w14:paraId="4B12DBE3" w14:textId="77777777" w:rsidR="00DB5AD0" w:rsidRDefault="00DB5AD0" w:rsidP="00DB5AD0">
      <w:pPr>
        <w:spacing w:after="0"/>
        <w:ind w:left="567" w:right="758"/>
        <w:jc w:val="both"/>
        <w:rPr>
          <w:kern w:val="2"/>
          <w:lang w:val="es-MX"/>
          <w14:ligatures w14:val="standardContextual"/>
        </w:rPr>
      </w:pPr>
    </w:p>
    <w:p w14:paraId="4CD2591A" w14:textId="77777777" w:rsidR="009E0AC6" w:rsidRDefault="009E0AC6" w:rsidP="009E0AC6">
      <w:pPr>
        <w:spacing w:after="0"/>
        <w:jc w:val="both"/>
        <w:rPr>
          <w:rFonts w:cstheme="minorHAnsi"/>
        </w:rPr>
      </w:pPr>
    </w:p>
    <w:p w14:paraId="7C2BB1DC" w14:textId="1D1DC51E" w:rsidR="00EB0A41" w:rsidRPr="0000596D" w:rsidRDefault="00EB0A41" w:rsidP="00AB3203">
      <w:pPr>
        <w:spacing w:after="0"/>
        <w:jc w:val="both"/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</w:rPr>
      </w:pP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Línea estratégica 3.- For</w:t>
      </w:r>
      <w:r w:rsidR="00312F9A"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mación, Capacitación y Asesoría</w:t>
      </w: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.</w:t>
      </w:r>
    </w:p>
    <w:p w14:paraId="134AD629" w14:textId="0FCBC2EA" w:rsidR="002E085B" w:rsidRDefault="002E085B" w:rsidP="00AB3203">
      <w:pPr>
        <w:spacing w:after="0"/>
        <w:jc w:val="both"/>
        <w:rPr>
          <w:rFonts w:cstheme="minorHAnsi"/>
        </w:rPr>
      </w:pPr>
      <w:r w:rsidRPr="00312F9A">
        <w:rPr>
          <w:rFonts w:cstheme="minorHAnsi"/>
          <w:b/>
          <w:bCs/>
        </w:rPr>
        <w:t>Objetivo</w:t>
      </w:r>
      <w:r w:rsidRPr="008B758B">
        <w:rPr>
          <w:rFonts w:cstheme="minorHAnsi"/>
        </w:rPr>
        <w:t>: Brindar a los servidores públicos del Tribunal de Justicia Administrativa los conocimientos necesarios sobre gestión documental y administración de archivos</w:t>
      </w:r>
      <w:r w:rsidR="00312F9A">
        <w:rPr>
          <w:rFonts w:cstheme="minorHAnsi"/>
        </w:rPr>
        <w:t>.</w:t>
      </w:r>
    </w:p>
    <w:p w14:paraId="28BAEAB5" w14:textId="77777777" w:rsidR="00312F9A" w:rsidRDefault="00312F9A" w:rsidP="00AB3203">
      <w:pPr>
        <w:spacing w:after="0"/>
        <w:jc w:val="both"/>
        <w:rPr>
          <w:rFonts w:cstheme="minorHAnsi"/>
        </w:rPr>
      </w:pPr>
    </w:p>
    <w:p w14:paraId="653977FA" w14:textId="52921E43" w:rsidR="00312F9A" w:rsidRPr="00312F9A" w:rsidRDefault="00312F9A" w:rsidP="00AB3203">
      <w:pPr>
        <w:spacing w:after="0"/>
        <w:jc w:val="both"/>
        <w:rPr>
          <w:rFonts w:cstheme="minorHAnsi"/>
        </w:rPr>
      </w:pPr>
      <w:r w:rsidRPr="00F82FBD">
        <w:rPr>
          <w:rFonts w:cstheme="minorHAnsi"/>
          <w:b/>
        </w:rPr>
        <w:t>Meta 1</w:t>
      </w:r>
      <w:r w:rsidRPr="00F82FBD">
        <w:rPr>
          <w:rFonts w:cstheme="minorHAnsi"/>
        </w:rPr>
        <w:t xml:space="preserve">: Capacitar al personal de nuevo </w:t>
      </w:r>
      <w:r w:rsidR="00CA2264" w:rsidRPr="00F82FBD">
        <w:rPr>
          <w:rFonts w:cstheme="minorHAnsi"/>
        </w:rPr>
        <w:t>i</w:t>
      </w:r>
      <w:r w:rsidRPr="00F82FBD">
        <w:rPr>
          <w:rFonts w:cstheme="minorHAnsi"/>
        </w:rPr>
        <w:t>ngreso sobre conceptos básicos y obligaciones en materia de archivos.</w:t>
      </w:r>
      <w:r w:rsidR="00CA2264">
        <w:rPr>
          <w:rFonts w:cstheme="minorHAnsi"/>
          <w:bCs/>
        </w:rPr>
        <w:t xml:space="preserve"> </w:t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>
        <w:rPr>
          <w:rFonts w:cstheme="minorHAnsi"/>
          <w:bCs/>
        </w:rPr>
        <w:tab/>
      </w:r>
      <w:r w:rsidR="00CA2264" w:rsidRPr="00272441">
        <w:rPr>
          <w:rFonts w:cstheme="minorHAnsi"/>
          <w:b/>
        </w:rPr>
        <w:t>Porcentaje de cumplimiento: 100%</w:t>
      </w:r>
    </w:p>
    <w:p w14:paraId="457BDB2D" w14:textId="77777777" w:rsidR="002E085B" w:rsidRDefault="002E085B" w:rsidP="00AB3203">
      <w:pPr>
        <w:spacing w:after="0"/>
        <w:jc w:val="both"/>
        <w:rPr>
          <w:rFonts w:cstheme="minorHAnsi"/>
        </w:rPr>
      </w:pPr>
    </w:p>
    <w:p w14:paraId="2B912CBB" w14:textId="784D7B43" w:rsidR="0063393B" w:rsidRDefault="00085B2D" w:rsidP="001A33E1">
      <w:pPr>
        <w:spacing w:after="0"/>
        <w:ind w:left="567" w:right="758"/>
        <w:jc w:val="both"/>
      </w:pPr>
      <w:r w:rsidRPr="00DB5AD0">
        <w:rPr>
          <w:kern w:val="2"/>
          <w:lang w:val="es-MX"/>
          <w14:ligatures w14:val="standardContextual"/>
        </w:rPr>
        <w:t>Con</w:t>
      </w:r>
      <w:r>
        <w:t xml:space="preserve"> el objetivo de que todo el personal del Tribunal cuente con conocimientos básicos relativos a temas de archivo, así como las obligaciones que como servidores públicos tienen respecto a la normativa aplicable, se impartió el curso </w:t>
      </w:r>
      <w:r w:rsidRPr="00085B2D">
        <w:t>“Conceptos Básicos y obligaciones en materia de archivos”</w:t>
      </w:r>
      <w:r>
        <w:t xml:space="preserve"> en las fechas y con el número de asistentes que a continuación se reportan:</w:t>
      </w:r>
    </w:p>
    <w:p w14:paraId="1F281E41" w14:textId="77777777" w:rsidR="001A33E1" w:rsidRDefault="001A33E1" w:rsidP="001A33E1">
      <w:pPr>
        <w:spacing w:after="0"/>
        <w:ind w:left="567" w:right="758"/>
        <w:jc w:val="both"/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5B2D" w14:paraId="70322F8B" w14:textId="77777777" w:rsidTr="000F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14:paraId="3F3E7266" w14:textId="3475E326" w:rsidR="001A33E1" w:rsidRDefault="00085B2D" w:rsidP="00085B2D">
            <w:pPr>
              <w:spacing w:after="0"/>
              <w:ind w:right="758"/>
              <w:jc w:val="center"/>
            </w:pPr>
            <w:r>
              <w:t>Fecha</w:t>
            </w:r>
          </w:p>
        </w:tc>
        <w:tc>
          <w:tcPr>
            <w:tcW w:w="4414" w:type="dxa"/>
          </w:tcPr>
          <w:p w14:paraId="59B7833A" w14:textId="2BC5837B" w:rsidR="001A33E1" w:rsidRDefault="00085B2D" w:rsidP="00085B2D">
            <w:pPr>
              <w:spacing w:after="0"/>
              <w:ind w:right="7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Asistentes</w:t>
            </w:r>
          </w:p>
        </w:tc>
      </w:tr>
      <w:tr w:rsidR="00085B2D" w14:paraId="68F1F20D" w14:textId="77777777" w:rsidTr="000F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56E1C7" w14:textId="062EE705" w:rsidR="001A33E1" w:rsidRDefault="00085B2D" w:rsidP="00085B2D">
            <w:pPr>
              <w:spacing w:after="0"/>
              <w:ind w:right="758"/>
              <w:jc w:val="center"/>
            </w:pPr>
            <w:r>
              <w:t>28 de febrero</w:t>
            </w:r>
          </w:p>
        </w:tc>
        <w:tc>
          <w:tcPr>
            <w:tcW w:w="4414" w:type="dxa"/>
          </w:tcPr>
          <w:p w14:paraId="302079EB" w14:textId="4242F6BB" w:rsidR="001A33E1" w:rsidRDefault="00085B2D" w:rsidP="00085B2D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085B2D" w14:paraId="2713441D" w14:textId="77777777" w:rsidTr="000F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4DFDA14" w14:textId="152F705C" w:rsidR="001A33E1" w:rsidRDefault="00085B2D" w:rsidP="00085B2D">
            <w:pPr>
              <w:spacing w:after="0"/>
              <w:ind w:right="758"/>
              <w:jc w:val="center"/>
            </w:pPr>
            <w:r>
              <w:t>12 de julio</w:t>
            </w:r>
          </w:p>
        </w:tc>
        <w:tc>
          <w:tcPr>
            <w:tcW w:w="4414" w:type="dxa"/>
          </w:tcPr>
          <w:p w14:paraId="3ABE06AF" w14:textId="288812BC" w:rsidR="001A33E1" w:rsidRDefault="00085B2D" w:rsidP="00085B2D">
            <w:pPr>
              <w:spacing w:after="0"/>
              <w:ind w:right="7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 </w:t>
            </w:r>
          </w:p>
        </w:tc>
      </w:tr>
      <w:tr w:rsidR="00085B2D" w14:paraId="7DC199F7" w14:textId="77777777" w:rsidTr="000F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928CC87" w14:textId="17C31971" w:rsidR="001A33E1" w:rsidRDefault="00085B2D" w:rsidP="00085B2D">
            <w:pPr>
              <w:spacing w:after="0"/>
              <w:ind w:right="758"/>
              <w:jc w:val="center"/>
            </w:pPr>
            <w:r>
              <w:t>12 de septiembre</w:t>
            </w:r>
          </w:p>
        </w:tc>
        <w:tc>
          <w:tcPr>
            <w:tcW w:w="4414" w:type="dxa"/>
          </w:tcPr>
          <w:p w14:paraId="1D3B0F2B" w14:textId="4EC52270" w:rsidR="001A33E1" w:rsidRDefault="00085B2D" w:rsidP="00085B2D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085B2D" w14:paraId="7EBB82CB" w14:textId="77777777" w:rsidTr="000F0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E1F175F" w14:textId="113A7D15" w:rsidR="001A33E1" w:rsidRDefault="00085B2D" w:rsidP="00085B2D">
            <w:pPr>
              <w:spacing w:after="0"/>
              <w:ind w:right="758"/>
              <w:jc w:val="center"/>
            </w:pPr>
            <w:r>
              <w:t>17 de octubre</w:t>
            </w:r>
          </w:p>
        </w:tc>
        <w:tc>
          <w:tcPr>
            <w:tcW w:w="4414" w:type="dxa"/>
          </w:tcPr>
          <w:p w14:paraId="69D07F96" w14:textId="0BDD5165" w:rsidR="001A33E1" w:rsidRDefault="00085B2D" w:rsidP="00085B2D">
            <w:pPr>
              <w:spacing w:after="0"/>
              <w:ind w:right="7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085B2D" w14:paraId="50954CEA" w14:textId="77777777" w:rsidTr="000F0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E35877E" w14:textId="69EA8F2C" w:rsidR="00085B2D" w:rsidRDefault="00085B2D" w:rsidP="00085B2D">
            <w:pPr>
              <w:spacing w:after="0"/>
              <w:ind w:right="758"/>
            </w:pPr>
            <w:r>
              <w:t>Total</w:t>
            </w:r>
          </w:p>
        </w:tc>
        <w:tc>
          <w:tcPr>
            <w:tcW w:w="4414" w:type="dxa"/>
          </w:tcPr>
          <w:p w14:paraId="769BC303" w14:textId="4B807AAD" w:rsidR="00085B2D" w:rsidRDefault="00085B2D" w:rsidP="00085B2D">
            <w:pPr>
              <w:spacing w:after="0"/>
              <w:ind w:right="7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</w:tbl>
    <w:p w14:paraId="41407562" w14:textId="77777777" w:rsidR="001A33E1" w:rsidRDefault="001A33E1" w:rsidP="001A33E1">
      <w:pPr>
        <w:spacing w:after="0"/>
        <w:ind w:left="567" w:right="758"/>
        <w:jc w:val="both"/>
      </w:pPr>
    </w:p>
    <w:p w14:paraId="36170E00" w14:textId="77777777" w:rsidR="001A33E1" w:rsidRDefault="001A33E1" w:rsidP="00AB3203">
      <w:pPr>
        <w:spacing w:after="0"/>
        <w:jc w:val="both"/>
      </w:pPr>
    </w:p>
    <w:p w14:paraId="4413D895" w14:textId="77777777" w:rsidR="001A33E1" w:rsidRDefault="001A33E1" w:rsidP="00AB3203">
      <w:pPr>
        <w:spacing w:after="0"/>
        <w:jc w:val="both"/>
      </w:pPr>
    </w:p>
    <w:p w14:paraId="722F8734" w14:textId="77777777" w:rsidR="001A33E1" w:rsidRDefault="001A33E1" w:rsidP="00AB3203">
      <w:pPr>
        <w:spacing w:after="0"/>
        <w:jc w:val="both"/>
        <w:rPr>
          <w:rFonts w:cstheme="minorHAnsi"/>
          <w:b/>
        </w:rPr>
      </w:pPr>
    </w:p>
    <w:p w14:paraId="238A7A64" w14:textId="1C0A6B7E" w:rsidR="002F66E1" w:rsidRDefault="002F66E1" w:rsidP="00AB3203">
      <w:pPr>
        <w:spacing w:after="0"/>
        <w:jc w:val="both"/>
        <w:rPr>
          <w:rFonts w:cstheme="minorHAnsi"/>
          <w:bCs/>
        </w:rPr>
      </w:pPr>
      <w:r w:rsidRPr="002F66E1">
        <w:rPr>
          <w:rFonts w:cstheme="minorHAnsi"/>
          <w:b/>
        </w:rPr>
        <w:t>Meta 2</w:t>
      </w:r>
      <w:r w:rsidRPr="002F66E1">
        <w:rPr>
          <w:rFonts w:cstheme="minorHAnsi"/>
          <w:bCs/>
        </w:rPr>
        <w:t>: Capacitar a los 3</w:t>
      </w:r>
      <w:r w:rsidR="005C68E6">
        <w:rPr>
          <w:rFonts w:cstheme="minorHAnsi"/>
          <w:bCs/>
        </w:rPr>
        <w:t>5</w:t>
      </w:r>
      <w:r w:rsidRPr="002F66E1">
        <w:rPr>
          <w:rFonts w:cstheme="minorHAnsi"/>
          <w:bCs/>
        </w:rPr>
        <w:t xml:space="preserve"> </w:t>
      </w:r>
      <w:proofErr w:type="gramStart"/>
      <w:r w:rsidRPr="002F66E1">
        <w:rPr>
          <w:rFonts w:cstheme="minorHAnsi"/>
          <w:bCs/>
        </w:rPr>
        <w:t>Responsables</w:t>
      </w:r>
      <w:proofErr w:type="gramEnd"/>
      <w:r w:rsidRPr="002F66E1">
        <w:rPr>
          <w:rFonts w:cstheme="minorHAnsi"/>
          <w:bCs/>
        </w:rPr>
        <w:t xml:space="preserve"> de Archivo de Trámite.</w:t>
      </w:r>
      <w:r>
        <w:rPr>
          <w:rFonts w:cstheme="minorHAnsi"/>
          <w:bCs/>
        </w:rPr>
        <w:t xml:space="preserve"> </w:t>
      </w:r>
    </w:p>
    <w:p w14:paraId="70C280C1" w14:textId="5E70AC2F" w:rsidR="009E0AC6" w:rsidRPr="002F66E1" w:rsidRDefault="002F66E1" w:rsidP="00AB3203">
      <w:pPr>
        <w:spacing w:after="0"/>
        <w:jc w:val="right"/>
        <w:rPr>
          <w:rFonts w:cstheme="minorHAnsi"/>
        </w:rPr>
      </w:pPr>
      <w:r w:rsidRPr="00272441">
        <w:rPr>
          <w:rFonts w:cstheme="minorHAnsi"/>
          <w:b/>
        </w:rPr>
        <w:t>Porcentaje de cumplimiento: 100%</w:t>
      </w:r>
    </w:p>
    <w:p w14:paraId="2619D1BE" w14:textId="77777777" w:rsidR="002F66E1" w:rsidRDefault="002F66E1" w:rsidP="00AB3203">
      <w:pPr>
        <w:spacing w:after="0"/>
        <w:jc w:val="both"/>
        <w:rPr>
          <w:rFonts w:cstheme="minorHAnsi"/>
        </w:rPr>
      </w:pPr>
    </w:p>
    <w:p w14:paraId="1301B833" w14:textId="0CDF5472" w:rsidR="00862F27" w:rsidRDefault="00862F27" w:rsidP="00862F27">
      <w:pPr>
        <w:spacing w:after="0"/>
        <w:ind w:left="567" w:right="758"/>
        <w:jc w:val="both"/>
      </w:pPr>
      <w:r w:rsidRPr="00566018">
        <w:t xml:space="preserve">A partir de los resultados obtenidos de la encuesta realizada a los </w:t>
      </w:r>
      <w:proofErr w:type="gramStart"/>
      <w:r w:rsidRPr="00566018">
        <w:t>Responsables</w:t>
      </w:r>
      <w:proofErr w:type="gramEnd"/>
      <w:r w:rsidRPr="00566018">
        <w:t xml:space="preserve"> de Archivos de Trámite del Tribunal, </w:t>
      </w:r>
      <w:r>
        <w:t xml:space="preserve">se definieron los temas que compondría la capacitación especializada para los </w:t>
      </w:r>
      <w:proofErr w:type="spellStart"/>
      <w:r>
        <w:t>RAT´s</w:t>
      </w:r>
      <w:proofErr w:type="spellEnd"/>
      <w:r>
        <w:t xml:space="preserve">, tomando en cuenta las opciones que indicaron </w:t>
      </w:r>
      <w:r w:rsidR="008845F2">
        <w:t>tener</w:t>
      </w:r>
      <w:r>
        <w:t xml:space="preserve"> interés para profundizar los conocimientos en el desarrollo de las actividades archivísticas que desarrollan cotidianamente.</w:t>
      </w:r>
    </w:p>
    <w:p w14:paraId="2D96EB65" w14:textId="77777777" w:rsidR="00862F27" w:rsidRDefault="00862F27" w:rsidP="00862F27">
      <w:pPr>
        <w:spacing w:after="0"/>
        <w:ind w:left="567" w:right="758"/>
        <w:jc w:val="both"/>
      </w:pPr>
    </w:p>
    <w:p w14:paraId="09F9222B" w14:textId="5B766C96" w:rsidR="00466761" w:rsidRPr="00A776DE" w:rsidRDefault="00862F27" w:rsidP="00A776DE">
      <w:pPr>
        <w:spacing w:after="0"/>
        <w:ind w:left="567" w:right="758"/>
        <w:jc w:val="both"/>
      </w:pPr>
      <w:r>
        <w:t xml:space="preserve">Los </w:t>
      </w:r>
      <w:proofErr w:type="spellStart"/>
      <w:r>
        <w:t>RAT´s</w:t>
      </w:r>
      <w:proofErr w:type="spellEnd"/>
      <w:r>
        <w:t xml:space="preserve"> participaron en la capacitación “</w:t>
      </w:r>
      <w:r w:rsidRPr="00566018">
        <w:t>Aspectos técnicos y prácticos del quehacer archivístico</w:t>
      </w:r>
      <w:r>
        <w:t>” realizada el 21 de marzo de 2024.</w:t>
      </w:r>
    </w:p>
    <w:p w14:paraId="267E7A90" w14:textId="77777777" w:rsidR="006C2EF9" w:rsidRDefault="006C2EF9" w:rsidP="009E0AC6">
      <w:pPr>
        <w:spacing w:after="0"/>
        <w:rPr>
          <w:rFonts w:cstheme="minorHAnsi"/>
          <w:b/>
        </w:rPr>
      </w:pPr>
    </w:p>
    <w:p w14:paraId="2CFE86C1" w14:textId="77777777" w:rsidR="006C2EF9" w:rsidRDefault="006C2EF9" w:rsidP="009E0AC6">
      <w:pPr>
        <w:spacing w:after="0"/>
        <w:rPr>
          <w:rFonts w:cstheme="minorHAnsi"/>
          <w:b/>
        </w:rPr>
      </w:pPr>
    </w:p>
    <w:p w14:paraId="07125F12" w14:textId="77777777" w:rsidR="00A776DE" w:rsidRDefault="00304174" w:rsidP="009E0AC6">
      <w:pPr>
        <w:spacing w:after="0"/>
        <w:rPr>
          <w:rFonts w:cstheme="minorHAnsi"/>
          <w:b/>
        </w:rPr>
      </w:pPr>
      <w:r w:rsidRPr="00304174">
        <w:rPr>
          <w:rFonts w:cstheme="minorHAnsi"/>
          <w:b/>
        </w:rPr>
        <w:t xml:space="preserve">Meta </w:t>
      </w:r>
      <w:r w:rsidR="001400ED">
        <w:rPr>
          <w:rFonts w:cstheme="minorHAnsi"/>
          <w:b/>
        </w:rPr>
        <w:t>3</w:t>
      </w:r>
      <w:r w:rsidRPr="00D55D0E">
        <w:rPr>
          <w:rFonts w:cstheme="minorHAnsi"/>
          <w:bCs/>
        </w:rPr>
        <w:t>: Brindar el 100% de las asesorías solicitadas</w:t>
      </w:r>
      <w:r w:rsidR="00D55D0E" w:rsidRPr="00D55D0E">
        <w:rPr>
          <w:rFonts w:cstheme="minorHAnsi"/>
          <w:bCs/>
        </w:rPr>
        <w:t>.</w:t>
      </w:r>
      <w:r w:rsidR="00D55D0E">
        <w:rPr>
          <w:rFonts w:cstheme="minorHAnsi"/>
          <w:b/>
        </w:rPr>
        <w:t xml:space="preserve"> </w:t>
      </w:r>
      <w:r w:rsidR="00D55D0E">
        <w:rPr>
          <w:rFonts w:cstheme="minorHAnsi"/>
          <w:b/>
        </w:rPr>
        <w:tab/>
        <w:t xml:space="preserve">             </w:t>
      </w:r>
    </w:p>
    <w:p w14:paraId="32587135" w14:textId="69309008" w:rsidR="009E0AC6" w:rsidRPr="00304174" w:rsidRDefault="00D55D0E" w:rsidP="00A776DE">
      <w:pPr>
        <w:spacing w:after="0"/>
        <w:jc w:val="right"/>
        <w:rPr>
          <w:rFonts w:cstheme="minorHAnsi"/>
          <w:b/>
          <w:sz w:val="24"/>
          <w:szCs w:val="56"/>
        </w:rPr>
      </w:pPr>
      <w:r w:rsidRPr="00272441">
        <w:rPr>
          <w:rFonts w:cstheme="minorHAnsi"/>
          <w:b/>
        </w:rPr>
        <w:t>Porcentaje de cumplimiento: 100%</w:t>
      </w:r>
    </w:p>
    <w:p w14:paraId="05FBD5ED" w14:textId="77777777" w:rsidR="009E0AC6" w:rsidRPr="008B758B" w:rsidRDefault="009E0AC6" w:rsidP="009E0AC6">
      <w:pPr>
        <w:spacing w:after="0"/>
        <w:jc w:val="center"/>
        <w:rPr>
          <w:rFonts w:cstheme="minorHAnsi"/>
          <w:b/>
          <w:sz w:val="24"/>
          <w:szCs w:val="56"/>
        </w:rPr>
      </w:pPr>
    </w:p>
    <w:p w14:paraId="64825F51" w14:textId="4CE26152" w:rsidR="009E0AC6" w:rsidRPr="008F4CDC" w:rsidRDefault="009E0AC6" w:rsidP="00D55D0E">
      <w:pPr>
        <w:spacing w:after="0"/>
        <w:ind w:left="567" w:right="758"/>
        <w:jc w:val="both"/>
        <w:rPr>
          <w:rFonts w:cstheme="minorHAnsi"/>
          <w:bCs/>
        </w:rPr>
      </w:pPr>
      <w:r w:rsidRPr="008F4CDC">
        <w:rPr>
          <w:rFonts w:cstheme="minorHAnsi"/>
          <w:bCs/>
        </w:rPr>
        <w:t xml:space="preserve">Atendiendo cada una de las dudas e inquietudes que sobre temas de archivo tuvieran los servidores públicos del Tribunal, </w:t>
      </w:r>
      <w:r>
        <w:rPr>
          <w:rFonts w:cstheme="minorHAnsi"/>
          <w:bCs/>
        </w:rPr>
        <w:t xml:space="preserve">se desahogaron </w:t>
      </w:r>
      <w:r w:rsidR="00806246">
        <w:rPr>
          <w:rFonts w:cstheme="minorHAnsi"/>
          <w:bCs/>
        </w:rPr>
        <w:t>4</w:t>
      </w:r>
      <w:r>
        <w:rPr>
          <w:rFonts w:cstheme="minorHAnsi"/>
          <w:bCs/>
        </w:rPr>
        <w:t>2 asesorías presenciales y a distancia respecto de temas de organización y especialmente en este año relativo al proceso de actualización de los Instrumentos de Control Archivístico.</w:t>
      </w:r>
    </w:p>
    <w:p w14:paraId="20D02E84" w14:textId="77777777" w:rsidR="00805B95" w:rsidRDefault="00805B95" w:rsidP="009E0AC6">
      <w:pPr>
        <w:spacing w:after="0"/>
        <w:jc w:val="center"/>
        <w:rPr>
          <w:rFonts w:cstheme="minorHAnsi"/>
          <w:b/>
        </w:rPr>
      </w:pPr>
    </w:p>
    <w:p w14:paraId="534F54FF" w14:textId="28B7889D" w:rsidR="00D55D0E" w:rsidRPr="00805B95" w:rsidRDefault="00D55D0E" w:rsidP="00805B95">
      <w:pPr>
        <w:spacing w:after="0"/>
        <w:jc w:val="both"/>
        <w:rPr>
          <w:rFonts w:cstheme="minorHAnsi"/>
          <w:b/>
        </w:rPr>
      </w:pPr>
      <w:r w:rsidRPr="005A44D2">
        <w:rPr>
          <w:rFonts w:cstheme="minorHAnsi"/>
          <w:b/>
        </w:rPr>
        <w:t xml:space="preserve">Meta </w:t>
      </w:r>
      <w:r w:rsidR="00A776DE" w:rsidRPr="005A44D2">
        <w:rPr>
          <w:rFonts w:cstheme="minorHAnsi"/>
          <w:b/>
        </w:rPr>
        <w:t>4</w:t>
      </w:r>
      <w:r w:rsidRPr="005A44D2">
        <w:rPr>
          <w:rFonts w:cstheme="minorHAnsi"/>
          <w:bCs/>
        </w:rPr>
        <w:t xml:space="preserve">: </w:t>
      </w:r>
      <w:r w:rsidR="00806246" w:rsidRPr="005A44D2">
        <w:rPr>
          <w:rFonts w:cstheme="minorHAnsi"/>
          <w:bCs/>
        </w:rPr>
        <w:t>Refrendar los conceptos básicos en materia de archivos a través de la publicación de 6 infografías en el Intranet y/o en lugares estratégicos del Tribunal y/o correo masivo</w:t>
      </w:r>
      <w:r w:rsidRPr="005A44D2">
        <w:rPr>
          <w:rFonts w:cstheme="minorHAnsi"/>
          <w:bCs/>
        </w:rPr>
        <w:t>.</w:t>
      </w:r>
    </w:p>
    <w:p w14:paraId="36A0E645" w14:textId="58C332D7" w:rsidR="00D55D0E" w:rsidRDefault="00805B95" w:rsidP="00805B95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</w:p>
    <w:p w14:paraId="2B156502" w14:textId="77777777" w:rsidR="00D55D0E" w:rsidRDefault="00D55D0E" w:rsidP="009E0AC6">
      <w:pPr>
        <w:spacing w:after="0"/>
        <w:jc w:val="center"/>
        <w:rPr>
          <w:rFonts w:cstheme="minorHAnsi"/>
          <w:b/>
        </w:rPr>
      </w:pPr>
    </w:p>
    <w:p w14:paraId="4B9245BC" w14:textId="03357F79" w:rsidR="009E0AC6" w:rsidRDefault="009E0AC6" w:rsidP="00805B95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Compartir información relativa a temas archivísticos propicia que el personal del Tribunal refuerce lo aprendido en las capacitaciones, o que conozca sobre algunos tópicos que se profundizarán posteriormente.</w:t>
      </w:r>
      <w:r w:rsidR="001C0E56">
        <w:rPr>
          <w:rFonts w:cstheme="minorHAnsi"/>
          <w:bCs/>
        </w:rPr>
        <w:t xml:space="preserve"> Por esta razón, se llevó a cabo la difusión de 6 infografías a través del correo masivo interno, con los siguientes temas:</w:t>
      </w:r>
    </w:p>
    <w:p w14:paraId="4D1752FB" w14:textId="77777777" w:rsidR="001C0E56" w:rsidRDefault="001C0E56" w:rsidP="00805B95">
      <w:pPr>
        <w:spacing w:after="0"/>
        <w:ind w:left="567" w:right="758"/>
        <w:jc w:val="both"/>
        <w:rPr>
          <w:rFonts w:cstheme="minorHAnsi"/>
          <w:b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988"/>
        <w:gridCol w:w="2823"/>
      </w:tblGrid>
      <w:tr w:rsidR="00AB125F" w14:paraId="2D7A9A90" w14:textId="77777777" w:rsidTr="00D4033A"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</w:tcPr>
          <w:p w14:paraId="07445B89" w14:textId="26EC6780" w:rsidR="00AB125F" w:rsidRPr="00493E1D" w:rsidRDefault="00AB125F" w:rsidP="00B37F40">
            <w:pPr>
              <w:spacing w:after="0"/>
              <w:ind w:right="758"/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93E1D">
              <w:rPr>
                <w:rFonts w:cstheme="minorHAnsi"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3988" w:type="dxa"/>
            <w:tcBorders>
              <w:bottom w:val="single" w:sz="4" w:space="0" w:color="auto"/>
              <w:right w:val="single" w:sz="4" w:space="0" w:color="auto"/>
            </w:tcBorders>
          </w:tcPr>
          <w:p w14:paraId="485008F5" w14:textId="2BBCDBAE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93E1D">
              <w:rPr>
                <w:rFonts w:cstheme="minorHAnsi"/>
                <w:bCs/>
                <w:i/>
                <w:iCs/>
                <w:sz w:val="20"/>
                <w:szCs w:val="20"/>
              </w:rPr>
              <w:t>Tema de infografía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</w:tcPr>
          <w:p w14:paraId="417480B6" w14:textId="461997A7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93E1D">
              <w:rPr>
                <w:rFonts w:cstheme="minorHAnsi"/>
                <w:bCs/>
                <w:i/>
                <w:iCs/>
                <w:sz w:val="20"/>
                <w:szCs w:val="20"/>
              </w:rPr>
              <w:t>Fecha de publicación</w:t>
            </w:r>
          </w:p>
        </w:tc>
      </w:tr>
      <w:tr w:rsidR="00AB125F" w14:paraId="6C0234C9" w14:textId="77777777" w:rsidTr="00D4033A"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14:paraId="2099B252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right w:val="single" w:sz="4" w:space="0" w:color="auto"/>
            </w:tcBorders>
          </w:tcPr>
          <w:p w14:paraId="538854FD" w14:textId="3EC4D7DB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Gestión documental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14:paraId="30313D1C" w14:textId="170C18A1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20 de marzo</w:t>
            </w:r>
          </w:p>
        </w:tc>
      </w:tr>
      <w:tr w:rsidR="00AB125F" w14:paraId="77398BEB" w14:textId="77777777" w:rsidTr="00D4033A">
        <w:tc>
          <w:tcPr>
            <w:tcW w:w="1257" w:type="dxa"/>
            <w:tcBorders>
              <w:right w:val="single" w:sz="4" w:space="0" w:color="auto"/>
            </w:tcBorders>
          </w:tcPr>
          <w:p w14:paraId="3C10DB15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2BAFE627" w14:textId="765BD53F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¿Qué es la organización de archivos?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14:paraId="161D25A3" w14:textId="340CF727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17 de abril</w:t>
            </w:r>
          </w:p>
        </w:tc>
      </w:tr>
      <w:tr w:rsidR="00AB125F" w14:paraId="70641407" w14:textId="77777777" w:rsidTr="00D4033A">
        <w:tc>
          <w:tcPr>
            <w:tcW w:w="1257" w:type="dxa"/>
            <w:tcBorders>
              <w:right w:val="single" w:sz="4" w:space="0" w:color="auto"/>
            </w:tcBorders>
          </w:tcPr>
          <w:p w14:paraId="03AE18B4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06714E79" w14:textId="5DA4506C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Documentos de archivo electrónico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14:paraId="43DC2AD5" w14:textId="21011047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03 de junio</w:t>
            </w:r>
          </w:p>
        </w:tc>
      </w:tr>
      <w:tr w:rsidR="00AB125F" w14:paraId="67DF2E0F" w14:textId="77777777" w:rsidTr="00D4033A">
        <w:tc>
          <w:tcPr>
            <w:tcW w:w="1257" w:type="dxa"/>
            <w:tcBorders>
              <w:right w:val="single" w:sz="4" w:space="0" w:color="auto"/>
            </w:tcBorders>
          </w:tcPr>
          <w:p w14:paraId="0049375E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7538FBBA" w14:textId="6A55FFF5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Patrimonio documental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14:paraId="261DFF7D" w14:textId="311AD37E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06 de agosto</w:t>
            </w:r>
          </w:p>
        </w:tc>
      </w:tr>
      <w:tr w:rsidR="00AB125F" w14:paraId="41DA3126" w14:textId="77777777" w:rsidTr="00D4033A">
        <w:tc>
          <w:tcPr>
            <w:tcW w:w="1257" w:type="dxa"/>
            <w:tcBorders>
              <w:right w:val="single" w:sz="4" w:space="0" w:color="auto"/>
            </w:tcBorders>
          </w:tcPr>
          <w:p w14:paraId="30A2439B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2127DEAB" w14:textId="7E26C6B7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Transferencia primaria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14:paraId="1195FB66" w14:textId="4D720930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 xml:space="preserve">17 de </w:t>
            </w:r>
            <w:r w:rsidR="00D4033A">
              <w:rPr>
                <w:rFonts w:cstheme="minorHAnsi"/>
                <w:bCs/>
                <w:sz w:val="20"/>
                <w:szCs w:val="20"/>
              </w:rPr>
              <w:t>s</w:t>
            </w:r>
            <w:r w:rsidRPr="00493E1D">
              <w:rPr>
                <w:rFonts w:cstheme="minorHAnsi"/>
                <w:bCs/>
                <w:sz w:val="20"/>
                <w:szCs w:val="20"/>
              </w:rPr>
              <w:t>eptiembre</w:t>
            </w:r>
          </w:p>
        </w:tc>
      </w:tr>
      <w:tr w:rsidR="00AB125F" w14:paraId="713D3FC1" w14:textId="77777777" w:rsidTr="00D4033A">
        <w:tc>
          <w:tcPr>
            <w:tcW w:w="1257" w:type="dxa"/>
            <w:tcBorders>
              <w:right w:val="single" w:sz="4" w:space="0" w:color="auto"/>
            </w:tcBorders>
          </w:tcPr>
          <w:p w14:paraId="4685F31F" w14:textId="77777777" w:rsidR="00AB125F" w:rsidRPr="00493E1D" w:rsidRDefault="00AB125F" w:rsidP="00067F48">
            <w:pPr>
              <w:pStyle w:val="ListParagraph"/>
              <w:numPr>
                <w:ilvl w:val="0"/>
                <w:numId w:val="8"/>
              </w:numPr>
              <w:spacing w:after="0"/>
              <w:ind w:right="758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14:paraId="161FBB50" w14:textId="08E4A476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¿Qué es la auditoría archivística?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14:paraId="5A61B3D8" w14:textId="73724CE8" w:rsidR="00AB125F" w:rsidRPr="00493E1D" w:rsidRDefault="00AB125F" w:rsidP="00067F48">
            <w:pPr>
              <w:spacing w:after="0"/>
              <w:ind w:right="758"/>
              <w:rPr>
                <w:rFonts w:cstheme="minorHAnsi"/>
                <w:bCs/>
                <w:sz w:val="20"/>
                <w:szCs w:val="20"/>
              </w:rPr>
            </w:pPr>
            <w:r w:rsidRPr="00493E1D">
              <w:rPr>
                <w:rFonts w:cstheme="minorHAnsi"/>
                <w:bCs/>
                <w:sz w:val="20"/>
                <w:szCs w:val="20"/>
              </w:rPr>
              <w:t>08 de noviembre</w:t>
            </w:r>
          </w:p>
        </w:tc>
      </w:tr>
    </w:tbl>
    <w:p w14:paraId="7AB20D28" w14:textId="77777777" w:rsidR="00F73EDF" w:rsidRDefault="00F73EDF" w:rsidP="000F7E40">
      <w:pPr>
        <w:spacing w:after="0"/>
        <w:ind w:right="758"/>
        <w:jc w:val="both"/>
        <w:rPr>
          <w:rFonts w:cstheme="minorHAnsi"/>
          <w:bCs/>
        </w:rPr>
      </w:pPr>
    </w:p>
    <w:p w14:paraId="54E13A15" w14:textId="33305410" w:rsidR="00CF5091" w:rsidRPr="00AB125F" w:rsidRDefault="00DC4DB8" w:rsidP="00AB125F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La difusión de </w:t>
      </w:r>
      <w:r w:rsidR="00C12771">
        <w:rPr>
          <w:rFonts w:cstheme="minorHAnsi"/>
          <w:bCs/>
        </w:rPr>
        <w:t>infografías por correo masivo busca llegar</w:t>
      </w:r>
      <w:r w:rsidR="009E0AC6">
        <w:rPr>
          <w:rFonts w:cstheme="minorHAnsi"/>
          <w:bCs/>
        </w:rPr>
        <w:t xml:space="preserve"> no solamente a los </w:t>
      </w:r>
      <w:proofErr w:type="gramStart"/>
      <w:r w:rsidR="009E0AC6">
        <w:rPr>
          <w:rFonts w:cstheme="minorHAnsi"/>
          <w:bCs/>
        </w:rPr>
        <w:t>Responsables</w:t>
      </w:r>
      <w:proofErr w:type="gramEnd"/>
      <w:r w:rsidR="009E0AC6">
        <w:rPr>
          <w:rFonts w:cstheme="minorHAnsi"/>
          <w:bCs/>
        </w:rPr>
        <w:t xml:space="preserve"> de Archivo de Trámite, sino a todos los integrantes de la institución</w:t>
      </w:r>
      <w:r w:rsidR="00A35B4E">
        <w:rPr>
          <w:rFonts w:cstheme="minorHAnsi"/>
          <w:bCs/>
        </w:rPr>
        <w:t xml:space="preserve"> </w:t>
      </w:r>
      <w:r w:rsidR="00D403F8">
        <w:rPr>
          <w:rFonts w:cstheme="minorHAnsi"/>
          <w:bCs/>
        </w:rPr>
        <w:t>y fomentar un</w:t>
      </w:r>
      <w:r w:rsidR="00A35B4E">
        <w:rPr>
          <w:rFonts w:cstheme="minorHAnsi"/>
          <w:bCs/>
        </w:rPr>
        <w:t>a cultura archivística</w:t>
      </w:r>
      <w:r w:rsidR="00D403F8">
        <w:rPr>
          <w:rFonts w:cstheme="minorHAnsi"/>
          <w:bCs/>
        </w:rPr>
        <w:t xml:space="preserve"> en el Tribunal</w:t>
      </w:r>
      <w:r w:rsidR="009E0AC6">
        <w:rPr>
          <w:rFonts w:cstheme="minorHAnsi"/>
          <w:bCs/>
        </w:rPr>
        <w:t>.</w:t>
      </w:r>
    </w:p>
    <w:p w14:paraId="60F3855D" w14:textId="77777777" w:rsidR="009E0AC6" w:rsidRDefault="009E0AC6" w:rsidP="009E0AC6">
      <w:pPr>
        <w:spacing w:after="0"/>
        <w:jc w:val="center"/>
        <w:rPr>
          <w:rFonts w:cstheme="minorHAnsi"/>
          <w:b/>
        </w:rPr>
      </w:pPr>
    </w:p>
    <w:p w14:paraId="3AE8573F" w14:textId="77777777" w:rsidR="00AA2063" w:rsidRDefault="00AA2063" w:rsidP="00A73CF2">
      <w:pPr>
        <w:spacing w:after="0"/>
        <w:jc w:val="both"/>
        <w:rPr>
          <w:rFonts w:cstheme="minorHAnsi"/>
          <w:b/>
          <w:bCs/>
          <w:color w:val="000000"/>
          <w:szCs w:val="28"/>
          <w:lang w:val="es-MX"/>
        </w:rPr>
      </w:pPr>
    </w:p>
    <w:p w14:paraId="497A13E4" w14:textId="08E7AD19" w:rsidR="00A73CF2" w:rsidRPr="0000596D" w:rsidRDefault="00A73CF2" w:rsidP="00A73CF2">
      <w:pPr>
        <w:spacing w:after="0"/>
        <w:jc w:val="both"/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</w:rPr>
      </w:pP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 xml:space="preserve">Línea estratégica 4.- </w:t>
      </w:r>
      <w:r w:rsidR="00AA2063"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Conservación del acervo documental</w:t>
      </w: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.</w:t>
      </w:r>
    </w:p>
    <w:p w14:paraId="5443D61E" w14:textId="7D1D3365" w:rsidR="00A73CF2" w:rsidRDefault="00A73CF2" w:rsidP="00AA2063">
      <w:pPr>
        <w:spacing w:after="0"/>
        <w:jc w:val="both"/>
        <w:rPr>
          <w:rFonts w:cstheme="minorHAnsi"/>
        </w:rPr>
      </w:pPr>
      <w:r w:rsidRPr="00312F9A">
        <w:rPr>
          <w:rFonts w:cstheme="minorHAnsi"/>
          <w:b/>
          <w:bCs/>
        </w:rPr>
        <w:t>Objetivo</w:t>
      </w:r>
      <w:r w:rsidRPr="008B758B">
        <w:rPr>
          <w:rFonts w:cstheme="minorHAnsi"/>
        </w:rPr>
        <w:t xml:space="preserve">: </w:t>
      </w:r>
      <w:r w:rsidR="00AA2063" w:rsidRPr="008B758B">
        <w:rPr>
          <w:rFonts w:cstheme="minorHAnsi"/>
        </w:rPr>
        <w:t>Conservar la memoria institucional del Tribunal de Justicia Administrativa</w:t>
      </w:r>
      <w:r w:rsidR="003A4D28">
        <w:rPr>
          <w:rFonts w:cstheme="minorHAnsi"/>
        </w:rPr>
        <w:t>.</w:t>
      </w:r>
    </w:p>
    <w:p w14:paraId="78C56AD6" w14:textId="77777777" w:rsidR="003A4D28" w:rsidRDefault="003A4D28" w:rsidP="00AA2063">
      <w:pPr>
        <w:spacing w:after="0"/>
        <w:jc w:val="both"/>
        <w:rPr>
          <w:rFonts w:cstheme="minorHAnsi"/>
        </w:rPr>
      </w:pPr>
    </w:p>
    <w:p w14:paraId="1BD9CACD" w14:textId="77777777" w:rsidR="004778DD" w:rsidRDefault="003A4D28" w:rsidP="00AA2063">
      <w:pPr>
        <w:spacing w:after="0"/>
        <w:jc w:val="both"/>
        <w:rPr>
          <w:rFonts w:cstheme="minorHAnsi"/>
          <w:b/>
        </w:rPr>
      </w:pPr>
      <w:r w:rsidRPr="0027342A">
        <w:rPr>
          <w:rFonts w:cstheme="minorHAnsi"/>
          <w:b/>
        </w:rPr>
        <w:t>Meta</w:t>
      </w:r>
      <w:r w:rsidR="0005424C" w:rsidRPr="0027342A">
        <w:rPr>
          <w:rFonts w:cstheme="minorHAnsi"/>
          <w:b/>
        </w:rPr>
        <w:t xml:space="preserve"> 1</w:t>
      </w:r>
      <w:r w:rsidRPr="0027342A">
        <w:rPr>
          <w:rFonts w:cstheme="minorHAnsi"/>
        </w:rPr>
        <w:t>: Implementar medidas de preservación para garantizar la conservación de los documentos y expedientes de los archivos de concentración e histórico.</w:t>
      </w:r>
      <w:r w:rsidRPr="003A4D28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</w:p>
    <w:p w14:paraId="503C408F" w14:textId="7B7392F5" w:rsidR="003A4D28" w:rsidRPr="003A4D28" w:rsidRDefault="003A4D28" w:rsidP="004778DD">
      <w:pPr>
        <w:spacing w:after="0"/>
        <w:jc w:val="right"/>
        <w:rPr>
          <w:rFonts w:cstheme="minorHAnsi"/>
          <w:b/>
        </w:rPr>
      </w:pPr>
      <w:r w:rsidRPr="00272441">
        <w:rPr>
          <w:rFonts w:cstheme="minorHAnsi"/>
          <w:b/>
        </w:rPr>
        <w:t>Porcentaje de cumplimiento: 100%</w:t>
      </w:r>
    </w:p>
    <w:p w14:paraId="79502A35" w14:textId="77777777" w:rsidR="009E0AC6" w:rsidRPr="00AD34A8" w:rsidRDefault="009E0AC6" w:rsidP="009E0AC6">
      <w:pPr>
        <w:spacing w:after="0"/>
        <w:jc w:val="center"/>
        <w:rPr>
          <w:rFonts w:cstheme="minorHAnsi"/>
          <w:b/>
        </w:rPr>
      </w:pPr>
    </w:p>
    <w:p w14:paraId="3DC31E1F" w14:textId="77777777" w:rsidR="009E0AC6" w:rsidRPr="008F6D3F" w:rsidRDefault="009E0AC6" w:rsidP="003A4D28">
      <w:pPr>
        <w:spacing w:after="0"/>
        <w:ind w:left="567" w:right="758"/>
        <w:jc w:val="both"/>
        <w:rPr>
          <w:rFonts w:cstheme="minorHAnsi"/>
        </w:rPr>
      </w:pPr>
      <w:r w:rsidRPr="008F6D3F">
        <w:rPr>
          <w:rFonts w:cstheme="minorHAnsi"/>
        </w:rPr>
        <w:t>Para procurar la conservación de la memoria institucional, se establecieron las siguientes medidas:</w:t>
      </w:r>
    </w:p>
    <w:p w14:paraId="01675020" w14:textId="77777777" w:rsidR="009E0AC6" w:rsidRPr="003B433B" w:rsidRDefault="009E0AC6" w:rsidP="003A4D28">
      <w:pPr>
        <w:spacing w:after="0"/>
        <w:ind w:left="567" w:right="758"/>
        <w:jc w:val="both"/>
        <w:rPr>
          <w:rFonts w:cstheme="minorHAnsi"/>
          <w:highlight w:val="yellow"/>
        </w:rPr>
      </w:pPr>
    </w:p>
    <w:p w14:paraId="73798C53" w14:textId="77777777" w:rsidR="009E0AC6" w:rsidRPr="00790FFA" w:rsidRDefault="009E0AC6" w:rsidP="003A4D28">
      <w:pPr>
        <w:pStyle w:val="ListParagraph"/>
        <w:numPr>
          <w:ilvl w:val="0"/>
          <w:numId w:val="1"/>
        </w:numPr>
        <w:spacing w:after="0"/>
        <w:ind w:left="567" w:right="758"/>
        <w:jc w:val="both"/>
        <w:rPr>
          <w:rFonts w:cstheme="minorHAnsi"/>
        </w:rPr>
      </w:pPr>
      <w:r w:rsidRPr="00790FFA">
        <w:rPr>
          <w:rFonts w:cstheme="minorHAnsi"/>
        </w:rPr>
        <w:t>Revisión de riesgos, niveles de temperatura y humedad</w:t>
      </w:r>
      <w:r>
        <w:rPr>
          <w:rFonts w:cstheme="minorHAnsi"/>
        </w:rPr>
        <w:t>.</w:t>
      </w:r>
    </w:p>
    <w:p w14:paraId="19094EE8" w14:textId="77777777" w:rsidR="009E0AC6" w:rsidRPr="000A0D01" w:rsidRDefault="009E0AC6" w:rsidP="003A4D28">
      <w:pPr>
        <w:spacing w:after="0"/>
        <w:ind w:left="567" w:right="758"/>
        <w:jc w:val="both"/>
        <w:rPr>
          <w:rFonts w:cstheme="minorHAnsi"/>
        </w:rPr>
      </w:pPr>
      <w:r>
        <w:rPr>
          <w:rFonts w:cstheme="minorHAnsi"/>
        </w:rPr>
        <w:t xml:space="preserve">Diariamente se llevó a cabo por parte del personal de la Coordinación de Archivos, del </w:t>
      </w:r>
      <w:r w:rsidRPr="000A0D01">
        <w:rPr>
          <w:rFonts w:cstheme="minorHAnsi"/>
        </w:rPr>
        <w:t>registr</w:t>
      </w:r>
      <w:r>
        <w:rPr>
          <w:rFonts w:cstheme="minorHAnsi"/>
        </w:rPr>
        <w:t>o</w:t>
      </w:r>
      <w:r w:rsidRPr="000A0D01">
        <w:rPr>
          <w:rFonts w:cstheme="minorHAnsi"/>
        </w:rPr>
        <w:t xml:space="preserve"> </w:t>
      </w:r>
      <w:r>
        <w:rPr>
          <w:rFonts w:cstheme="minorHAnsi"/>
        </w:rPr>
        <w:t xml:space="preserve">en </w:t>
      </w:r>
      <w:r w:rsidRPr="000A0D01">
        <w:rPr>
          <w:rFonts w:cstheme="minorHAnsi"/>
        </w:rPr>
        <w:t xml:space="preserve">bitácora </w:t>
      </w:r>
      <w:r>
        <w:rPr>
          <w:rFonts w:cstheme="minorHAnsi"/>
        </w:rPr>
        <w:t xml:space="preserve">de </w:t>
      </w:r>
      <w:r w:rsidRPr="000A0D01">
        <w:rPr>
          <w:rFonts w:cstheme="minorHAnsi"/>
        </w:rPr>
        <w:t xml:space="preserve">los niveles de temperatura y humedad en </w:t>
      </w:r>
      <w:r>
        <w:rPr>
          <w:rFonts w:cstheme="minorHAnsi"/>
        </w:rPr>
        <w:t>los depósitos de archivo</w:t>
      </w:r>
      <w:r w:rsidRPr="000A0D01">
        <w:rPr>
          <w:rFonts w:cstheme="minorHAnsi"/>
        </w:rPr>
        <w:t>. Las mediciones se tomaron dos veces al día, la primera por la mañana, y la segunda antes de finalizar la jornada laboral, sin presentar</w:t>
      </w:r>
      <w:r>
        <w:rPr>
          <w:rFonts w:cstheme="minorHAnsi"/>
        </w:rPr>
        <w:t>s</w:t>
      </w:r>
      <w:r w:rsidRPr="000A0D01">
        <w:rPr>
          <w:rFonts w:cstheme="minorHAnsi"/>
        </w:rPr>
        <w:t>e mayores observaciones al respecto</w:t>
      </w:r>
      <w:r>
        <w:rPr>
          <w:rFonts w:cstheme="minorHAnsi"/>
        </w:rPr>
        <w:t>, garantizando que los datos se encuentren dentro de los parámetros establecidos para la conservación de los acervos.</w:t>
      </w:r>
    </w:p>
    <w:p w14:paraId="1524D7F3" w14:textId="77777777" w:rsidR="009E0AC6" w:rsidRPr="003B433B" w:rsidRDefault="009E0AC6" w:rsidP="00643D27">
      <w:pPr>
        <w:spacing w:after="0"/>
        <w:ind w:right="758"/>
        <w:jc w:val="both"/>
        <w:rPr>
          <w:rFonts w:cstheme="minorHAnsi"/>
          <w:highlight w:val="yellow"/>
        </w:rPr>
      </w:pPr>
    </w:p>
    <w:p w14:paraId="7883D2BF" w14:textId="6B9FC939" w:rsidR="00354C3A" w:rsidRPr="00354C3A" w:rsidRDefault="00643D27" w:rsidP="00354C3A">
      <w:pPr>
        <w:pStyle w:val="ListParagraph"/>
        <w:numPr>
          <w:ilvl w:val="0"/>
          <w:numId w:val="1"/>
        </w:numPr>
        <w:spacing w:after="0"/>
        <w:ind w:left="567" w:right="758"/>
        <w:jc w:val="both"/>
        <w:rPr>
          <w:rFonts w:cstheme="minorHAnsi"/>
        </w:rPr>
      </w:pPr>
      <w:r w:rsidRPr="00643D27">
        <w:rPr>
          <w:rFonts w:cstheme="minorHAnsi"/>
        </w:rPr>
        <w:t>Realizar limpieza y aspirado de mobiliario y expedientes</w:t>
      </w:r>
    </w:p>
    <w:p w14:paraId="688823EE" w14:textId="1012FFF8" w:rsidR="00354C3A" w:rsidRDefault="00F514C4" w:rsidP="003A4D28">
      <w:pPr>
        <w:spacing w:after="0"/>
        <w:ind w:left="567" w:right="758"/>
        <w:jc w:val="both"/>
        <w:rPr>
          <w:rFonts w:cstheme="minorHAnsi"/>
        </w:rPr>
      </w:pPr>
      <w:r>
        <w:rPr>
          <w:rFonts w:cstheme="minorHAnsi"/>
        </w:rPr>
        <w:t xml:space="preserve">Entre el 17 y el 21 de junio </w:t>
      </w:r>
      <w:r w:rsidR="008D3303">
        <w:rPr>
          <w:rFonts w:cstheme="minorHAnsi"/>
        </w:rPr>
        <w:t xml:space="preserve">de 2024 se llevó a cabo la limpieza y aspirado del mobiliario y expedientes de los archivos de Trámite, </w:t>
      </w:r>
      <w:r w:rsidR="0057451A">
        <w:rPr>
          <w:rFonts w:cstheme="minorHAnsi"/>
        </w:rPr>
        <w:t>Concentración e Histórico, contando con el apoyo del personal</w:t>
      </w:r>
      <w:r w:rsidR="00D820BC">
        <w:rPr>
          <w:rFonts w:cstheme="minorHAnsi"/>
        </w:rPr>
        <w:t xml:space="preserve"> de la Coordinación de </w:t>
      </w:r>
      <w:r w:rsidR="00582CB3">
        <w:rPr>
          <w:rFonts w:cstheme="minorHAnsi"/>
        </w:rPr>
        <w:t>Recursos Materiales y Servicios Generales</w:t>
      </w:r>
      <w:r w:rsidR="00373430">
        <w:rPr>
          <w:rFonts w:cstheme="minorHAnsi"/>
        </w:rPr>
        <w:t>, quienes colaboraron con el personal de la Coordinación de Archivos en la limpieza del mobiliario y aspirado de los expedientes.</w:t>
      </w:r>
    </w:p>
    <w:p w14:paraId="61F9784F" w14:textId="5A19FC63" w:rsidR="00643D27" w:rsidRDefault="00100895" w:rsidP="00234905">
      <w:pPr>
        <w:spacing w:after="0"/>
        <w:ind w:left="567" w:right="758"/>
        <w:jc w:val="both"/>
        <w:rPr>
          <w:rFonts w:cstheme="minorHAnsi"/>
        </w:rPr>
      </w:pPr>
      <w:r>
        <w:rPr>
          <w:rFonts w:cstheme="minorHAnsi"/>
        </w:rPr>
        <w:t xml:space="preserve">Estas acciones </w:t>
      </w:r>
      <w:r w:rsidR="00133713">
        <w:rPr>
          <w:rFonts w:cstheme="minorHAnsi"/>
        </w:rPr>
        <w:t>ayudan a prevenir afectaciones a la salud del personal operativo</w:t>
      </w:r>
      <w:r w:rsidR="00551C63">
        <w:rPr>
          <w:rFonts w:cstheme="minorHAnsi"/>
        </w:rPr>
        <w:t>, as</w:t>
      </w:r>
      <w:r w:rsidR="0093532C">
        <w:rPr>
          <w:rFonts w:cstheme="minorHAnsi"/>
        </w:rPr>
        <w:t>í como a procurar la conservación del acervo documental en las mejores condiciones para su resguardo y consulta.</w:t>
      </w:r>
    </w:p>
    <w:p w14:paraId="53DD1C52" w14:textId="77777777" w:rsidR="00643D27" w:rsidRDefault="00643D27" w:rsidP="003A4D28">
      <w:pPr>
        <w:spacing w:after="0"/>
        <w:ind w:left="567" w:right="758"/>
        <w:jc w:val="both"/>
        <w:rPr>
          <w:rFonts w:cstheme="minorHAnsi"/>
          <w:highlight w:val="yellow"/>
        </w:rPr>
      </w:pPr>
    </w:p>
    <w:p w14:paraId="59914F7E" w14:textId="6663B0AF" w:rsidR="00643D27" w:rsidRPr="00643D27" w:rsidRDefault="00643D27" w:rsidP="00643D27">
      <w:pPr>
        <w:pStyle w:val="ListParagraph"/>
        <w:numPr>
          <w:ilvl w:val="0"/>
          <w:numId w:val="1"/>
        </w:numPr>
        <w:spacing w:after="0"/>
        <w:ind w:left="567" w:right="758"/>
        <w:jc w:val="both"/>
        <w:rPr>
          <w:rFonts w:cstheme="minorHAnsi"/>
        </w:rPr>
      </w:pPr>
      <w:r w:rsidRPr="00643D27">
        <w:rPr>
          <w:rFonts w:cstheme="minorHAnsi"/>
        </w:rPr>
        <w:t>Fumigación especializada del Archivo General.</w:t>
      </w:r>
    </w:p>
    <w:p w14:paraId="3866DCBB" w14:textId="383F554E" w:rsidR="00643D27" w:rsidRPr="00FD3B89" w:rsidRDefault="009119BD" w:rsidP="003A4D28">
      <w:pPr>
        <w:spacing w:after="0"/>
        <w:ind w:left="567" w:right="758"/>
        <w:jc w:val="both"/>
        <w:rPr>
          <w:rFonts w:cstheme="minorHAnsi"/>
        </w:rPr>
      </w:pPr>
      <w:r>
        <w:rPr>
          <w:rFonts w:cstheme="minorHAnsi"/>
        </w:rPr>
        <w:t>Se</w:t>
      </w:r>
      <w:r w:rsidR="00643D27" w:rsidRPr="00643D27">
        <w:rPr>
          <w:rFonts w:cstheme="minorHAnsi"/>
        </w:rPr>
        <w:t xml:space="preserve"> realiz</w:t>
      </w:r>
      <w:r>
        <w:rPr>
          <w:rFonts w:cstheme="minorHAnsi"/>
        </w:rPr>
        <w:t>aron</w:t>
      </w:r>
      <w:r w:rsidR="00643D27" w:rsidRPr="00643D27">
        <w:rPr>
          <w:rFonts w:cstheme="minorHAnsi"/>
        </w:rPr>
        <w:t xml:space="preserve"> 4 servicios trimestrales (</w:t>
      </w:r>
      <w:r w:rsidR="00470E72">
        <w:rPr>
          <w:rFonts w:cstheme="minorHAnsi"/>
        </w:rPr>
        <w:t xml:space="preserve">7 y 8 de </w:t>
      </w:r>
      <w:r w:rsidR="00643D27" w:rsidRPr="00643D27">
        <w:rPr>
          <w:rFonts w:cstheme="minorHAnsi"/>
        </w:rPr>
        <w:t xml:space="preserve">marzo, </w:t>
      </w:r>
      <w:r w:rsidR="00CC6595">
        <w:rPr>
          <w:rFonts w:cstheme="minorHAnsi"/>
        </w:rPr>
        <w:t xml:space="preserve">13 y 14 de </w:t>
      </w:r>
      <w:r w:rsidR="00643D27" w:rsidRPr="00643D27">
        <w:rPr>
          <w:rFonts w:cstheme="minorHAnsi"/>
        </w:rPr>
        <w:t xml:space="preserve">junio, </w:t>
      </w:r>
      <w:r w:rsidR="008D72F0">
        <w:rPr>
          <w:rFonts w:cstheme="minorHAnsi"/>
        </w:rPr>
        <w:t xml:space="preserve">18 y 19 </w:t>
      </w:r>
      <w:r w:rsidR="00643D27" w:rsidRPr="00643D27">
        <w:rPr>
          <w:rFonts w:cstheme="minorHAnsi"/>
        </w:rPr>
        <w:t>septiembre</w:t>
      </w:r>
      <w:r w:rsidR="00383BC3">
        <w:rPr>
          <w:rFonts w:cstheme="minorHAnsi"/>
        </w:rPr>
        <w:t>,</w:t>
      </w:r>
      <w:r w:rsidR="00643D27" w:rsidRPr="00643D27">
        <w:rPr>
          <w:rFonts w:cstheme="minorHAnsi"/>
        </w:rPr>
        <w:t xml:space="preserve"> y </w:t>
      </w:r>
      <w:r w:rsidR="00E621DB">
        <w:rPr>
          <w:rFonts w:cstheme="minorHAnsi"/>
        </w:rPr>
        <w:t xml:space="preserve">2 y 3 de </w:t>
      </w:r>
      <w:r w:rsidR="00643D27" w:rsidRPr="00643D27">
        <w:rPr>
          <w:rFonts w:cstheme="minorHAnsi"/>
        </w:rPr>
        <w:t>diciembre) de control de plagas, nebulización para desinfección de archivos y eliminación de agentes patógenos, garantizando así la seguridad de los acervos y el personal.</w:t>
      </w:r>
    </w:p>
    <w:p w14:paraId="046BB513" w14:textId="77777777" w:rsidR="009E0AC6" w:rsidRDefault="009E0AC6" w:rsidP="003A4D28">
      <w:pPr>
        <w:spacing w:after="0"/>
        <w:ind w:left="567" w:right="758"/>
        <w:jc w:val="both"/>
        <w:rPr>
          <w:rFonts w:cstheme="minorHAnsi"/>
          <w:highlight w:val="yellow"/>
        </w:rPr>
      </w:pPr>
    </w:p>
    <w:p w14:paraId="5D525A17" w14:textId="77777777" w:rsidR="00B4752B" w:rsidRPr="003B433B" w:rsidRDefault="00B4752B" w:rsidP="003A4D28">
      <w:pPr>
        <w:spacing w:after="0"/>
        <w:ind w:left="567" w:right="758"/>
        <w:jc w:val="both"/>
        <w:rPr>
          <w:rFonts w:cstheme="minorHAnsi"/>
          <w:highlight w:val="yellow"/>
        </w:rPr>
      </w:pPr>
    </w:p>
    <w:p w14:paraId="6599EF4A" w14:textId="1DAD7D74" w:rsidR="00643D27" w:rsidRPr="00383BC3" w:rsidRDefault="00643D27" w:rsidP="00383BC3">
      <w:pPr>
        <w:pStyle w:val="ListParagraph"/>
        <w:numPr>
          <w:ilvl w:val="0"/>
          <w:numId w:val="1"/>
        </w:numPr>
        <w:spacing w:after="0"/>
        <w:ind w:left="567" w:right="758"/>
        <w:jc w:val="both"/>
        <w:rPr>
          <w:rFonts w:cstheme="minorHAnsi"/>
        </w:rPr>
      </w:pPr>
      <w:r w:rsidRPr="00643D27">
        <w:rPr>
          <w:rFonts w:cstheme="minorHAnsi"/>
        </w:rPr>
        <w:t>Mantener vigente la carga de los extintores.</w:t>
      </w:r>
    </w:p>
    <w:p w14:paraId="3F17A75E" w14:textId="388A114E" w:rsidR="00643D27" w:rsidRDefault="00643D27" w:rsidP="003A4D28">
      <w:pPr>
        <w:spacing w:after="0"/>
        <w:ind w:left="567" w:right="758"/>
        <w:jc w:val="both"/>
        <w:rPr>
          <w:rFonts w:cstheme="minorHAnsi"/>
        </w:rPr>
      </w:pPr>
      <w:r w:rsidRPr="00643D27">
        <w:rPr>
          <w:rFonts w:cstheme="minorHAnsi"/>
        </w:rPr>
        <w:t xml:space="preserve">El </w:t>
      </w:r>
      <w:r w:rsidR="00A870DF">
        <w:rPr>
          <w:rFonts w:cstheme="minorHAnsi"/>
        </w:rPr>
        <w:t xml:space="preserve">16 de </w:t>
      </w:r>
      <w:r w:rsidR="00841813">
        <w:rPr>
          <w:rFonts w:cstheme="minorHAnsi"/>
        </w:rPr>
        <w:t>junio</w:t>
      </w:r>
      <w:r w:rsidR="0049015C">
        <w:rPr>
          <w:rFonts w:cstheme="minorHAnsi"/>
        </w:rPr>
        <w:t xml:space="preserve"> de 2024</w:t>
      </w:r>
      <w:r w:rsidRPr="00643D27">
        <w:rPr>
          <w:rFonts w:cstheme="minorHAnsi"/>
        </w:rPr>
        <w:t xml:space="preserve"> se realizó la revisión de la vigencia de la carga de los seis extintores que se encuentran dentro de la Coordinación de Archivos</w:t>
      </w:r>
      <w:r w:rsidR="008811BC">
        <w:rPr>
          <w:rFonts w:cstheme="minorHAnsi"/>
        </w:rPr>
        <w:t xml:space="preserve">. </w:t>
      </w:r>
      <w:r w:rsidR="00F75619">
        <w:rPr>
          <w:rFonts w:cstheme="minorHAnsi"/>
        </w:rPr>
        <w:t>Asimismo,</w:t>
      </w:r>
      <w:r w:rsidR="008811BC">
        <w:rPr>
          <w:rFonts w:cstheme="minorHAnsi"/>
        </w:rPr>
        <w:t xml:space="preserve"> se colocó señalética </w:t>
      </w:r>
      <w:r w:rsidR="00D95C50">
        <w:rPr>
          <w:rFonts w:cstheme="minorHAnsi"/>
        </w:rPr>
        <w:t>indicando la ubicación de cada uno de ellos</w:t>
      </w:r>
      <w:r w:rsidR="00F75619">
        <w:rPr>
          <w:rFonts w:cstheme="minorHAnsi"/>
        </w:rPr>
        <w:t xml:space="preserve">. </w:t>
      </w:r>
      <w:r w:rsidR="00D95C50">
        <w:rPr>
          <w:rFonts w:cstheme="minorHAnsi"/>
        </w:rPr>
        <w:t>También s</w:t>
      </w:r>
      <w:r w:rsidR="00F75619">
        <w:rPr>
          <w:rFonts w:cstheme="minorHAnsi"/>
        </w:rPr>
        <w:t>e renovaron las bases y soportes de cada extintor, de acuerdo con las recomendaciones de la Dirección General de Protección Civil del Estado de Guanajuato.</w:t>
      </w:r>
    </w:p>
    <w:p w14:paraId="68B5F2A4" w14:textId="77777777" w:rsidR="009E0AC6" w:rsidRDefault="009E0AC6" w:rsidP="003A4D28">
      <w:pPr>
        <w:spacing w:after="0"/>
        <w:ind w:left="567" w:right="758"/>
        <w:jc w:val="both"/>
        <w:rPr>
          <w:rFonts w:cstheme="minorHAnsi"/>
        </w:rPr>
      </w:pPr>
    </w:p>
    <w:p w14:paraId="2BC30D0B" w14:textId="77777777" w:rsidR="009E0AC6" w:rsidRDefault="009E0AC6" w:rsidP="00AB320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6A2C2A8" w14:textId="2B598D63" w:rsidR="00540F5D" w:rsidRPr="0000596D" w:rsidRDefault="00540F5D" w:rsidP="00540F5D">
      <w:pPr>
        <w:spacing w:after="0"/>
        <w:jc w:val="both"/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</w:rPr>
      </w:pPr>
      <w:r w:rsidRPr="0000596D">
        <w:rPr>
          <w:rFonts w:ascii="Arial Rounded MT Bold" w:hAnsi="Arial Rounded MT Bold" w:cstheme="minorHAnsi"/>
          <w:b/>
          <w:bCs/>
          <w:color w:val="385623" w:themeColor="accent6" w:themeShade="80"/>
          <w:sz w:val="24"/>
          <w:szCs w:val="24"/>
          <w:lang w:val="es-MX"/>
        </w:rPr>
        <w:t>Línea estratégica 5.- Difusión.</w:t>
      </w:r>
    </w:p>
    <w:p w14:paraId="685FCE45" w14:textId="5FA8EA4D" w:rsidR="00540F5D" w:rsidRDefault="00540F5D" w:rsidP="00540F5D">
      <w:pPr>
        <w:spacing w:after="0"/>
        <w:jc w:val="both"/>
        <w:rPr>
          <w:rFonts w:cstheme="minorHAnsi"/>
        </w:rPr>
      </w:pPr>
      <w:r w:rsidRPr="00312F9A">
        <w:rPr>
          <w:rFonts w:cstheme="minorHAnsi"/>
          <w:b/>
          <w:bCs/>
        </w:rPr>
        <w:t>Objetivo</w:t>
      </w:r>
      <w:r w:rsidRPr="008B758B">
        <w:rPr>
          <w:rFonts w:cstheme="minorHAnsi"/>
        </w:rPr>
        <w:t xml:space="preserve">: Promover la difusión del </w:t>
      </w:r>
      <w:r>
        <w:rPr>
          <w:rFonts w:cstheme="minorHAnsi"/>
        </w:rPr>
        <w:t>acervo d</w:t>
      </w:r>
      <w:r w:rsidRPr="008B758B">
        <w:rPr>
          <w:rFonts w:cstheme="minorHAnsi"/>
        </w:rPr>
        <w:t>ocumental</w:t>
      </w:r>
      <w:r>
        <w:rPr>
          <w:rFonts w:cstheme="minorHAnsi"/>
        </w:rPr>
        <w:t xml:space="preserve"> del Tribunal.</w:t>
      </w:r>
    </w:p>
    <w:p w14:paraId="633EAFDA" w14:textId="77777777" w:rsidR="00540F5D" w:rsidRDefault="00540F5D" w:rsidP="00540F5D">
      <w:pPr>
        <w:spacing w:after="0"/>
        <w:jc w:val="both"/>
        <w:rPr>
          <w:rFonts w:cstheme="minorHAnsi"/>
          <w:b/>
        </w:rPr>
      </w:pPr>
    </w:p>
    <w:p w14:paraId="7DB8D3D0" w14:textId="1F39DE9F" w:rsidR="00540F5D" w:rsidRPr="00540F5D" w:rsidRDefault="00540F5D" w:rsidP="00540F5D">
      <w:pPr>
        <w:spacing w:after="0"/>
        <w:jc w:val="both"/>
        <w:rPr>
          <w:rFonts w:cstheme="minorHAnsi"/>
          <w:b/>
          <w:sz w:val="24"/>
          <w:szCs w:val="24"/>
        </w:rPr>
      </w:pPr>
      <w:r w:rsidRPr="00540F5D">
        <w:rPr>
          <w:rFonts w:cstheme="minorHAnsi"/>
          <w:b/>
        </w:rPr>
        <w:t>Meta 1</w:t>
      </w:r>
      <w:r w:rsidRPr="00540F5D">
        <w:rPr>
          <w:rFonts w:cstheme="minorHAnsi"/>
          <w:bCs/>
        </w:rPr>
        <w:t xml:space="preserve">: </w:t>
      </w:r>
      <w:r w:rsidR="00EB7363" w:rsidRPr="00EB7363">
        <w:rPr>
          <w:rFonts w:cstheme="minorHAnsi"/>
          <w:bCs/>
        </w:rPr>
        <w:t>Compartir en redes sociales contenido relativo al acervo del Archivo Histórico</w:t>
      </w:r>
    </w:p>
    <w:p w14:paraId="7F0BFC46" w14:textId="574F30EA" w:rsidR="00540F5D" w:rsidRPr="008B758B" w:rsidRDefault="00540F5D" w:rsidP="00540F5D">
      <w:pPr>
        <w:spacing w:after="0"/>
        <w:jc w:val="right"/>
        <w:rPr>
          <w:rFonts w:cstheme="minorHAnsi"/>
          <w:b/>
          <w:sz w:val="24"/>
          <w:szCs w:val="24"/>
        </w:rPr>
      </w:pPr>
      <w:r w:rsidRPr="00272441">
        <w:rPr>
          <w:rFonts w:cstheme="minorHAnsi"/>
          <w:b/>
        </w:rPr>
        <w:t>Porcentaje de cumplimiento: 100%</w:t>
      </w:r>
    </w:p>
    <w:p w14:paraId="1A130EC8" w14:textId="77777777" w:rsidR="009E0AC6" w:rsidRPr="008B758B" w:rsidRDefault="009E0AC6" w:rsidP="009E0AC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A24B1F" w14:textId="5AFC54AE" w:rsidR="0059012B" w:rsidRPr="00027A25" w:rsidRDefault="0059012B" w:rsidP="0059012B">
      <w:pPr>
        <w:spacing w:after="0"/>
        <w:ind w:left="567" w:right="758"/>
        <w:jc w:val="both"/>
      </w:pPr>
      <w:r w:rsidRPr="0059012B">
        <w:rPr>
          <w:rFonts w:cstheme="minorHAnsi"/>
        </w:rPr>
        <w:t>Se</w:t>
      </w:r>
      <w:r>
        <w:t xml:space="preserve"> realizaron 10 publicaciones en redes sociales para divulgar efemérides </w:t>
      </w:r>
      <w:r w:rsidR="00643D27">
        <w:t>de acontecimientos y fechas conmemorativas de la historia del Tribunal,</w:t>
      </w:r>
      <w:r>
        <w:t xml:space="preserve"> </w:t>
      </w:r>
      <w:r w:rsidR="00A119A9">
        <w:t xml:space="preserve">específicamente en 6 de ellas, </w:t>
      </w:r>
      <w:r>
        <w:t>contenido relacionado con el 30 aniversario de inicio de actividades de la Defensoría de Oficio del Tribunal.</w:t>
      </w:r>
    </w:p>
    <w:p w14:paraId="56F5AF6C" w14:textId="77777777" w:rsidR="009E0AC6" w:rsidRDefault="009E0AC6" w:rsidP="009E0AC6">
      <w:pPr>
        <w:spacing w:after="0"/>
        <w:rPr>
          <w:rFonts w:cstheme="minorHAnsi"/>
          <w:b/>
          <w:sz w:val="24"/>
          <w:szCs w:val="24"/>
        </w:rPr>
      </w:pPr>
    </w:p>
    <w:p w14:paraId="26ADA150" w14:textId="77777777" w:rsidR="002A2160" w:rsidRDefault="00540F5D" w:rsidP="002A2160">
      <w:pPr>
        <w:spacing w:after="0"/>
        <w:rPr>
          <w:rFonts w:cstheme="minorHAnsi"/>
          <w:bCs/>
        </w:rPr>
      </w:pPr>
      <w:r w:rsidRPr="002A2160">
        <w:rPr>
          <w:rFonts w:cstheme="minorHAnsi"/>
          <w:b/>
        </w:rPr>
        <w:t>Meta 2</w:t>
      </w:r>
      <w:r w:rsidRPr="002A2160">
        <w:rPr>
          <w:rFonts w:cstheme="minorHAnsi"/>
          <w:bCs/>
        </w:rPr>
        <w:t xml:space="preserve">: </w:t>
      </w:r>
      <w:r w:rsidR="00083453" w:rsidRPr="002A2160">
        <w:rPr>
          <w:rFonts w:cstheme="minorHAnsi"/>
          <w:bCs/>
        </w:rPr>
        <w:t>Mantener actualizado el contenido del micrositio del Archivo</w:t>
      </w:r>
    </w:p>
    <w:p w14:paraId="1488324A" w14:textId="5CFD519E" w:rsidR="00540F5D" w:rsidRPr="002A2160" w:rsidRDefault="00540F5D" w:rsidP="00083453">
      <w:pPr>
        <w:spacing w:after="0"/>
        <w:jc w:val="right"/>
        <w:rPr>
          <w:rFonts w:cstheme="minorHAnsi"/>
        </w:rPr>
      </w:pPr>
      <w:r>
        <w:rPr>
          <w:rFonts w:cstheme="minorHAnsi"/>
          <w:bCs/>
        </w:rPr>
        <w:tab/>
      </w:r>
      <w:r w:rsidRPr="00272441">
        <w:rPr>
          <w:rFonts w:cstheme="minorHAnsi"/>
          <w:b/>
        </w:rPr>
        <w:t>Porcentaje de cumplimiento: 100%</w:t>
      </w:r>
    </w:p>
    <w:p w14:paraId="7C063015" w14:textId="77777777" w:rsidR="00113967" w:rsidRDefault="00113967" w:rsidP="00DB5AD0">
      <w:pPr>
        <w:spacing w:after="0"/>
        <w:ind w:left="567" w:right="758"/>
        <w:jc w:val="both"/>
      </w:pPr>
    </w:p>
    <w:p w14:paraId="7410050A" w14:textId="5AB56590" w:rsidR="00540F5D" w:rsidRDefault="002A2160" w:rsidP="00DB5AD0">
      <w:pPr>
        <w:spacing w:after="0"/>
        <w:ind w:left="567" w:right="758"/>
        <w:jc w:val="both"/>
        <w:rPr>
          <w:rFonts w:cstheme="minorHAnsi"/>
        </w:rPr>
      </w:pPr>
      <w:r w:rsidRPr="00DB5AD0">
        <w:t>Con</w:t>
      </w:r>
      <w:r w:rsidRPr="002A2160">
        <w:rPr>
          <w:rFonts w:cstheme="minorHAnsi"/>
          <w:bCs/>
        </w:rPr>
        <w:t xml:space="preserve"> el propósito de lograr el </w:t>
      </w:r>
      <w:r>
        <w:rPr>
          <w:rFonts w:cstheme="minorHAnsi"/>
          <w:bCs/>
        </w:rPr>
        <w:t>mayor alcance en la consulta de información relativa al Archivo General del TJA Guanajuato y la documentación que se resguarda en sus depósitos, en 2023 se creó el micrositio del Archivo, por lo cual es necesario que cuente con información actualizada y completa respecto de las actividades, normativa, documentos para consulta en línea y otros temas de interés general.</w:t>
      </w:r>
    </w:p>
    <w:p w14:paraId="0C70285A" w14:textId="77777777" w:rsidR="002A2160" w:rsidRDefault="002A2160" w:rsidP="002A2160">
      <w:pPr>
        <w:spacing w:after="0"/>
        <w:jc w:val="both"/>
        <w:rPr>
          <w:rFonts w:cstheme="minorHAnsi"/>
          <w:bCs/>
        </w:rPr>
      </w:pPr>
    </w:p>
    <w:p w14:paraId="43A11B60" w14:textId="0685BC7A" w:rsidR="002A2160" w:rsidRPr="002A2160" w:rsidRDefault="002A2160" w:rsidP="00DB5AD0">
      <w:pPr>
        <w:spacing w:after="0"/>
        <w:ind w:left="567" w:right="758"/>
        <w:jc w:val="both"/>
        <w:rPr>
          <w:rFonts w:cstheme="minorHAnsi"/>
          <w:bCs/>
        </w:rPr>
      </w:pPr>
      <w:r>
        <w:rPr>
          <w:rFonts w:cstheme="minorHAnsi"/>
          <w:bCs/>
        </w:rPr>
        <w:t>Es por esta razón que en 21 de mayo y 27 de noviembre se realizó la solicitud de actualización de contenidos del micrositio a la Coordinación de Comunicación Social, como se estableció en el cronograma de actividades.</w:t>
      </w:r>
    </w:p>
    <w:p w14:paraId="75FE90F2" w14:textId="77777777" w:rsidR="00F306CB" w:rsidRDefault="00F306CB" w:rsidP="00030AFE">
      <w:pPr>
        <w:spacing w:after="0"/>
        <w:jc w:val="center"/>
        <w:rPr>
          <w:rFonts w:cstheme="minorHAnsi"/>
          <w:sz w:val="24"/>
          <w:szCs w:val="24"/>
        </w:rPr>
      </w:pPr>
    </w:p>
    <w:p w14:paraId="6727C341" w14:textId="11DD687F" w:rsidR="008430EC" w:rsidRDefault="008430EC" w:rsidP="00030A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Silao de la Victoria, Guanajuato,</w:t>
      </w:r>
      <w:r w:rsidR="003038F9">
        <w:rPr>
          <w:rFonts w:cstheme="minorHAnsi"/>
          <w:sz w:val="24"/>
          <w:szCs w:val="24"/>
        </w:rPr>
        <w:t xml:space="preserve"> </w:t>
      </w:r>
      <w:r w:rsidR="00030AFE">
        <w:rPr>
          <w:rFonts w:cstheme="minorHAnsi"/>
          <w:sz w:val="24"/>
          <w:szCs w:val="24"/>
        </w:rPr>
        <w:t>2</w:t>
      </w:r>
      <w:r w:rsidR="002A2160">
        <w:rPr>
          <w:rFonts w:cstheme="minorHAnsi"/>
          <w:sz w:val="24"/>
          <w:szCs w:val="24"/>
        </w:rPr>
        <w:t>1</w:t>
      </w:r>
      <w:r w:rsidR="003038F9">
        <w:rPr>
          <w:rFonts w:cstheme="minorHAnsi"/>
          <w:sz w:val="24"/>
          <w:szCs w:val="24"/>
        </w:rPr>
        <w:t xml:space="preserve"> de enero de 202</w:t>
      </w:r>
      <w:r w:rsidR="00DB5AD0">
        <w:rPr>
          <w:rFonts w:cstheme="minorHAnsi"/>
          <w:sz w:val="24"/>
          <w:szCs w:val="24"/>
        </w:rPr>
        <w:t>5</w:t>
      </w:r>
      <w:r w:rsidR="003038F9">
        <w:rPr>
          <w:rFonts w:cstheme="minorHAnsi"/>
          <w:sz w:val="24"/>
          <w:szCs w:val="24"/>
        </w:rPr>
        <w:t>.</w:t>
      </w:r>
    </w:p>
    <w:p w14:paraId="5ECAB1C2" w14:textId="77777777" w:rsidR="003038F9" w:rsidRDefault="003038F9" w:rsidP="00030AFE">
      <w:pPr>
        <w:spacing w:after="0"/>
        <w:jc w:val="center"/>
        <w:rPr>
          <w:rFonts w:cstheme="minorHAnsi"/>
          <w:sz w:val="24"/>
          <w:szCs w:val="24"/>
        </w:rPr>
      </w:pPr>
    </w:p>
    <w:p w14:paraId="56C580B6" w14:textId="77777777" w:rsidR="003038F9" w:rsidRDefault="003038F9" w:rsidP="00030AFE">
      <w:pPr>
        <w:spacing w:after="0"/>
        <w:jc w:val="center"/>
        <w:rPr>
          <w:rFonts w:cstheme="minorHAnsi"/>
          <w:sz w:val="24"/>
          <w:szCs w:val="24"/>
        </w:rPr>
      </w:pPr>
    </w:p>
    <w:p w14:paraId="0A1EAC38" w14:textId="77777777" w:rsidR="00030AFE" w:rsidRDefault="00030AFE" w:rsidP="00030AFE">
      <w:pPr>
        <w:spacing w:after="0"/>
        <w:jc w:val="center"/>
        <w:rPr>
          <w:rFonts w:cstheme="minorHAnsi"/>
          <w:sz w:val="24"/>
          <w:szCs w:val="24"/>
        </w:rPr>
      </w:pPr>
    </w:p>
    <w:p w14:paraId="5AFBB155" w14:textId="1AD7E2E2" w:rsidR="009E0AC6" w:rsidRPr="00D72746" w:rsidRDefault="009E0AC6" w:rsidP="00030AFE">
      <w:pPr>
        <w:spacing w:after="0"/>
        <w:jc w:val="center"/>
        <w:rPr>
          <w:rFonts w:cstheme="minorHAnsi"/>
          <w:sz w:val="24"/>
          <w:szCs w:val="24"/>
        </w:rPr>
      </w:pPr>
      <w:r w:rsidRPr="00D72746">
        <w:rPr>
          <w:rFonts w:cstheme="minorHAnsi"/>
          <w:sz w:val="24"/>
          <w:szCs w:val="24"/>
        </w:rPr>
        <w:t>Ana Lucía Estrada Meza</w:t>
      </w:r>
    </w:p>
    <w:p w14:paraId="04CEEA3E" w14:textId="77777777" w:rsidR="009E0AC6" w:rsidRDefault="009E0AC6" w:rsidP="00030AFE">
      <w:pPr>
        <w:spacing w:after="0"/>
        <w:jc w:val="center"/>
        <w:rPr>
          <w:rFonts w:cstheme="minorHAnsi"/>
          <w:sz w:val="24"/>
          <w:szCs w:val="24"/>
        </w:rPr>
      </w:pPr>
      <w:r w:rsidRPr="00D72746">
        <w:rPr>
          <w:rFonts w:cstheme="minorHAnsi"/>
          <w:sz w:val="24"/>
          <w:szCs w:val="24"/>
        </w:rPr>
        <w:t>Coordinadora de Archivos</w:t>
      </w:r>
      <w:bookmarkEnd w:id="0"/>
    </w:p>
    <w:sectPr w:rsidR="009E0AC6" w:rsidSect="00B01A6F">
      <w:pgSz w:w="12240" w:h="15840"/>
      <w:pgMar w:top="1701" w:right="1701" w:bottom="1588" w:left="1701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5600" w14:textId="77777777" w:rsidR="00842761" w:rsidRDefault="00842761" w:rsidP="00884268">
      <w:pPr>
        <w:spacing w:after="0" w:line="240" w:lineRule="auto"/>
      </w:pPr>
      <w:r>
        <w:separator/>
      </w:r>
    </w:p>
  </w:endnote>
  <w:endnote w:type="continuationSeparator" w:id="0">
    <w:p w14:paraId="35E15746" w14:textId="77777777" w:rsidR="00842761" w:rsidRDefault="00842761" w:rsidP="00884268">
      <w:pPr>
        <w:spacing w:after="0" w:line="240" w:lineRule="auto"/>
      </w:pPr>
      <w:r>
        <w:continuationSeparator/>
      </w:r>
    </w:p>
  </w:endnote>
  <w:endnote w:type="continuationNotice" w:id="1">
    <w:p w14:paraId="79E6DDCD" w14:textId="77777777" w:rsidR="00842761" w:rsidRDefault="00842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0233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5DA413" w14:textId="0877A186" w:rsidR="00884268" w:rsidRDefault="0088426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1FC228C2" w14:textId="632F91A2" w:rsidR="008A3C5F" w:rsidRDefault="008A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EB43" w14:textId="77777777" w:rsidR="00842761" w:rsidRDefault="00842761" w:rsidP="00884268">
      <w:pPr>
        <w:spacing w:after="0" w:line="240" w:lineRule="auto"/>
      </w:pPr>
      <w:r>
        <w:separator/>
      </w:r>
    </w:p>
  </w:footnote>
  <w:footnote w:type="continuationSeparator" w:id="0">
    <w:p w14:paraId="0BEE0867" w14:textId="77777777" w:rsidR="00842761" w:rsidRDefault="00842761" w:rsidP="00884268">
      <w:pPr>
        <w:spacing w:after="0" w:line="240" w:lineRule="auto"/>
      </w:pPr>
      <w:r>
        <w:continuationSeparator/>
      </w:r>
    </w:p>
  </w:footnote>
  <w:footnote w:type="continuationNotice" w:id="1">
    <w:p w14:paraId="322331AB" w14:textId="77777777" w:rsidR="00842761" w:rsidRDefault="00842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4DDC"/>
    <w:multiLevelType w:val="hybridMultilevel"/>
    <w:tmpl w:val="5DDC3718"/>
    <w:lvl w:ilvl="0" w:tplc="9B28FCF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842E0D"/>
    <w:multiLevelType w:val="hybridMultilevel"/>
    <w:tmpl w:val="BECAFC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D0B3B"/>
    <w:multiLevelType w:val="hybridMultilevel"/>
    <w:tmpl w:val="1EE0BA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4C2E49"/>
    <w:multiLevelType w:val="hybridMultilevel"/>
    <w:tmpl w:val="CF0CABD6"/>
    <w:lvl w:ilvl="0" w:tplc="7CEE27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803907"/>
    <w:multiLevelType w:val="hybridMultilevel"/>
    <w:tmpl w:val="BECAFC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E7DAD"/>
    <w:multiLevelType w:val="hybridMultilevel"/>
    <w:tmpl w:val="465822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428DC"/>
    <w:multiLevelType w:val="hybridMultilevel"/>
    <w:tmpl w:val="EBE074FA"/>
    <w:lvl w:ilvl="0" w:tplc="8A8A67A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7BB64790"/>
    <w:multiLevelType w:val="hybridMultilevel"/>
    <w:tmpl w:val="7C14A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7717">
    <w:abstractNumId w:val="7"/>
  </w:num>
  <w:num w:numId="2" w16cid:durableId="1133015724">
    <w:abstractNumId w:val="0"/>
  </w:num>
  <w:num w:numId="3" w16cid:durableId="1072120033">
    <w:abstractNumId w:val="3"/>
  </w:num>
  <w:num w:numId="4" w16cid:durableId="1886482203">
    <w:abstractNumId w:val="2"/>
  </w:num>
  <w:num w:numId="5" w16cid:durableId="1693678751">
    <w:abstractNumId w:val="6"/>
  </w:num>
  <w:num w:numId="6" w16cid:durableId="1793788863">
    <w:abstractNumId w:val="5"/>
  </w:num>
  <w:num w:numId="7" w16cid:durableId="1724326883">
    <w:abstractNumId w:val="1"/>
  </w:num>
  <w:num w:numId="8" w16cid:durableId="1844280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C6"/>
    <w:rsid w:val="00001C83"/>
    <w:rsid w:val="000029C7"/>
    <w:rsid w:val="0000596D"/>
    <w:rsid w:val="000074B8"/>
    <w:rsid w:val="00011497"/>
    <w:rsid w:val="0001568C"/>
    <w:rsid w:val="00024736"/>
    <w:rsid w:val="000257EB"/>
    <w:rsid w:val="000269AE"/>
    <w:rsid w:val="00027067"/>
    <w:rsid w:val="00030AFE"/>
    <w:rsid w:val="00032493"/>
    <w:rsid w:val="00035E4A"/>
    <w:rsid w:val="00041444"/>
    <w:rsid w:val="00041637"/>
    <w:rsid w:val="00050B24"/>
    <w:rsid w:val="0005263C"/>
    <w:rsid w:val="00052F54"/>
    <w:rsid w:val="0005424C"/>
    <w:rsid w:val="00056ADB"/>
    <w:rsid w:val="00057ABD"/>
    <w:rsid w:val="00063961"/>
    <w:rsid w:val="00064B1C"/>
    <w:rsid w:val="0006606A"/>
    <w:rsid w:val="00067F48"/>
    <w:rsid w:val="000725B8"/>
    <w:rsid w:val="00073D79"/>
    <w:rsid w:val="000740DF"/>
    <w:rsid w:val="00074CF3"/>
    <w:rsid w:val="00074F76"/>
    <w:rsid w:val="000809E2"/>
    <w:rsid w:val="00081F56"/>
    <w:rsid w:val="00083116"/>
    <w:rsid w:val="00083453"/>
    <w:rsid w:val="00085B2D"/>
    <w:rsid w:val="00086CF2"/>
    <w:rsid w:val="000905FD"/>
    <w:rsid w:val="00090982"/>
    <w:rsid w:val="000909E2"/>
    <w:rsid w:val="000914D3"/>
    <w:rsid w:val="000930D2"/>
    <w:rsid w:val="00093F20"/>
    <w:rsid w:val="0009481B"/>
    <w:rsid w:val="000952CB"/>
    <w:rsid w:val="000A3327"/>
    <w:rsid w:val="000A7433"/>
    <w:rsid w:val="000A7DE7"/>
    <w:rsid w:val="000A7E83"/>
    <w:rsid w:val="000B08D8"/>
    <w:rsid w:val="000B2152"/>
    <w:rsid w:val="000B385B"/>
    <w:rsid w:val="000B4032"/>
    <w:rsid w:val="000B4785"/>
    <w:rsid w:val="000B5174"/>
    <w:rsid w:val="000B580F"/>
    <w:rsid w:val="000B5870"/>
    <w:rsid w:val="000B7A97"/>
    <w:rsid w:val="000C35E1"/>
    <w:rsid w:val="000C6174"/>
    <w:rsid w:val="000D46C0"/>
    <w:rsid w:val="000D6ED1"/>
    <w:rsid w:val="000E10D6"/>
    <w:rsid w:val="000E17D5"/>
    <w:rsid w:val="000E7146"/>
    <w:rsid w:val="000E7D1F"/>
    <w:rsid w:val="000F0F5F"/>
    <w:rsid w:val="000F3DF7"/>
    <w:rsid w:val="000F43B1"/>
    <w:rsid w:val="000F4CA5"/>
    <w:rsid w:val="000F5505"/>
    <w:rsid w:val="000F624D"/>
    <w:rsid w:val="000F649E"/>
    <w:rsid w:val="000F7E40"/>
    <w:rsid w:val="001001BF"/>
    <w:rsid w:val="00100895"/>
    <w:rsid w:val="00100CB5"/>
    <w:rsid w:val="0010286A"/>
    <w:rsid w:val="001029FD"/>
    <w:rsid w:val="001036B2"/>
    <w:rsid w:val="00105368"/>
    <w:rsid w:val="00110906"/>
    <w:rsid w:val="001111BC"/>
    <w:rsid w:val="001116AF"/>
    <w:rsid w:val="00112D3D"/>
    <w:rsid w:val="00113967"/>
    <w:rsid w:val="0011558D"/>
    <w:rsid w:val="00116014"/>
    <w:rsid w:val="00117862"/>
    <w:rsid w:val="00122811"/>
    <w:rsid w:val="0012299A"/>
    <w:rsid w:val="00122AC3"/>
    <w:rsid w:val="00123B88"/>
    <w:rsid w:val="00125044"/>
    <w:rsid w:val="001255AB"/>
    <w:rsid w:val="00130220"/>
    <w:rsid w:val="00133713"/>
    <w:rsid w:val="00133EEC"/>
    <w:rsid w:val="001400ED"/>
    <w:rsid w:val="00141CD1"/>
    <w:rsid w:val="001436E5"/>
    <w:rsid w:val="00145CD1"/>
    <w:rsid w:val="001475F8"/>
    <w:rsid w:val="0015054C"/>
    <w:rsid w:val="00154A87"/>
    <w:rsid w:val="001577EF"/>
    <w:rsid w:val="00157FE7"/>
    <w:rsid w:val="001631B9"/>
    <w:rsid w:val="001644E5"/>
    <w:rsid w:val="00165FA1"/>
    <w:rsid w:val="00166576"/>
    <w:rsid w:val="0017357B"/>
    <w:rsid w:val="00177E60"/>
    <w:rsid w:val="0018104F"/>
    <w:rsid w:val="00181EA4"/>
    <w:rsid w:val="00184631"/>
    <w:rsid w:val="00184CBC"/>
    <w:rsid w:val="001855B7"/>
    <w:rsid w:val="00186210"/>
    <w:rsid w:val="0018764D"/>
    <w:rsid w:val="001878C2"/>
    <w:rsid w:val="001922D6"/>
    <w:rsid w:val="0019290B"/>
    <w:rsid w:val="00192A13"/>
    <w:rsid w:val="00193366"/>
    <w:rsid w:val="00195D4F"/>
    <w:rsid w:val="001A156B"/>
    <w:rsid w:val="001A33E1"/>
    <w:rsid w:val="001A3D91"/>
    <w:rsid w:val="001A5110"/>
    <w:rsid w:val="001B0937"/>
    <w:rsid w:val="001B13E8"/>
    <w:rsid w:val="001C0E56"/>
    <w:rsid w:val="001C6D0D"/>
    <w:rsid w:val="001D0B9A"/>
    <w:rsid w:val="001D0F08"/>
    <w:rsid w:val="001D1001"/>
    <w:rsid w:val="001E251F"/>
    <w:rsid w:val="001E3A74"/>
    <w:rsid w:val="001E4000"/>
    <w:rsid w:val="001E622C"/>
    <w:rsid w:val="001F09B5"/>
    <w:rsid w:val="001F7B7C"/>
    <w:rsid w:val="0021214D"/>
    <w:rsid w:val="00215D9B"/>
    <w:rsid w:val="00216459"/>
    <w:rsid w:val="00216763"/>
    <w:rsid w:val="00221FCB"/>
    <w:rsid w:val="002228ED"/>
    <w:rsid w:val="00223F7A"/>
    <w:rsid w:val="00227E8E"/>
    <w:rsid w:val="002328D4"/>
    <w:rsid w:val="00232B81"/>
    <w:rsid w:val="002340D0"/>
    <w:rsid w:val="0023415B"/>
    <w:rsid w:val="00234437"/>
    <w:rsid w:val="00234905"/>
    <w:rsid w:val="00236385"/>
    <w:rsid w:val="00240F21"/>
    <w:rsid w:val="00242CAC"/>
    <w:rsid w:val="002450A7"/>
    <w:rsid w:val="0024740C"/>
    <w:rsid w:val="00250B6C"/>
    <w:rsid w:val="00254669"/>
    <w:rsid w:val="002610FC"/>
    <w:rsid w:val="00261FA3"/>
    <w:rsid w:val="00263668"/>
    <w:rsid w:val="00263D98"/>
    <w:rsid w:val="00272441"/>
    <w:rsid w:val="0027342A"/>
    <w:rsid w:val="00274655"/>
    <w:rsid w:val="00274962"/>
    <w:rsid w:val="002821B6"/>
    <w:rsid w:val="002828D9"/>
    <w:rsid w:val="00282D1E"/>
    <w:rsid w:val="00290F01"/>
    <w:rsid w:val="002942DC"/>
    <w:rsid w:val="002946CA"/>
    <w:rsid w:val="0029643E"/>
    <w:rsid w:val="0029679F"/>
    <w:rsid w:val="002A0032"/>
    <w:rsid w:val="002A076C"/>
    <w:rsid w:val="002A2160"/>
    <w:rsid w:val="002A54BA"/>
    <w:rsid w:val="002B090E"/>
    <w:rsid w:val="002B2330"/>
    <w:rsid w:val="002B24BC"/>
    <w:rsid w:val="002B66F9"/>
    <w:rsid w:val="002B715A"/>
    <w:rsid w:val="002B7E01"/>
    <w:rsid w:val="002C5763"/>
    <w:rsid w:val="002C6D06"/>
    <w:rsid w:val="002C6E8E"/>
    <w:rsid w:val="002D446E"/>
    <w:rsid w:val="002D7857"/>
    <w:rsid w:val="002E085B"/>
    <w:rsid w:val="002E46FE"/>
    <w:rsid w:val="002E71DE"/>
    <w:rsid w:val="002F000C"/>
    <w:rsid w:val="002F1E4F"/>
    <w:rsid w:val="002F2B04"/>
    <w:rsid w:val="002F3FE7"/>
    <w:rsid w:val="002F66E1"/>
    <w:rsid w:val="003005D9"/>
    <w:rsid w:val="00301677"/>
    <w:rsid w:val="003038F9"/>
    <w:rsid w:val="003039A2"/>
    <w:rsid w:val="00303C1A"/>
    <w:rsid w:val="00304174"/>
    <w:rsid w:val="00304575"/>
    <w:rsid w:val="003049B5"/>
    <w:rsid w:val="00304C3E"/>
    <w:rsid w:val="003052F8"/>
    <w:rsid w:val="003056E6"/>
    <w:rsid w:val="00305E71"/>
    <w:rsid w:val="00311747"/>
    <w:rsid w:val="00312F9A"/>
    <w:rsid w:val="00314041"/>
    <w:rsid w:val="003154D5"/>
    <w:rsid w:val="00316304"/>
    <w:rsid w:val="0032014B"/>
    <w:rsid w:val="00323954"/>
    <w:rsid w:val="00325954"/>
    <w:rsid w:val="00325DD8"/>
    <w:rsid w:val="00326731"/>
    <w:rsid w:val="0032677D"/>
    <w:rsid w:val="00334E2A"/>
    <w:rsid w:val="003410DD"/>
    <w:rsid w:val="00342FF5"/>
    <w:rsid w:val="00343472"/>
    <w:rsid w:val="00344220"/>
    <w:rsid w:val="0034489F"/>
    <w:rsid w:val="00354C3A"/>
    <w:rsid w:val="003552E9"/>
    <w:rsid w:val="00361DAE"/>
    <w:rsid w:val="00362F46"/>
    <w:rsid w:val="00364B65"/>
    <w:rsid w:val="00365F0E"/>
    <w:rsid w:val="00373430"/>
    <w:rsid w:val="00376884"/>
    <w:rsid w:val="00382887"/>
    <w:rsid w:val="00383BC3"/>
    <w:rsid w:val="00385E9C"/>
    <w:rsid w:val="003871B0"/>
    <w:rsid w:val="0038745B"/>
    <w:rsid w:val="0039182C"/>
    <w:rsid w:val="0039216A"/>
    <w:rsid w:val="00392FA1"/>
    <w:rsid w:val="0039532B"/>
    <w:rsid w:val="003A224A"/>
    <w:rsid w:val="003A2FDC"/>
    <w:rsid w:val="003A43F4"/>
    <w:rsid w:val="003A454E"/>
    <w:rsid w:val="003A4A60"/>
    <w:rsid w:val="003A4D28"/>
    <w:rsid w:val="003A57CA"/>
    <w:rsid w:val="003A68B2"/>
    <w:rsid w:val="003B0576"/>
    <w:rsid w:val="003B175C"/>
    <w:rsid w:val="003B28F3"/>
    <w:rsid w:val="003B2A09"/>
    <w:rsid w:val="003B3086"/>
    <w:rsid w:val="003B4C95"/>
    <w:rsid w:val="003B6DD3"/>
    <w:rsid w:val="003C142A"/>
    <w:rsid w:val="003C24F6"/>
    <w:rsid w:val="003C27A4"/>
    <w:rsid w:val="003C2FF4"/>
    <w:rsid w:val="003C31B7"/>
    <w:rsid w:val="003C3611"/>
    <w:rsid w:val="003D1475"/>
    <w:rsid w:val="003D162B"/>
    <w:rsid w:val="003D2B47"/>
    <w:rsid w:val="003D4552"/>
    <w:rsid w:val="003E10ED"/>
    <w:rsid w:val="003E1C57"/>
    <w:rsid w:val="003E3AAE"/>
    <w:rsid w:val="003E4599"/>
    <w:rsid w:val="003E5172"/>
    <w:rsid w:val="003F0B19"/>
    <w:rsid w:val="003F269D"/>
    <w:rsid w:val="003F2FD3"/>
    <w:rsid w:val="003F3378"/>
    <w:rsid w:val="003F404A"/>
    <w:rsid w:val="003F7163"/>
    <w:rsid w:val="003F7673"/>
    <w:rsid w:val="00400458"/>
    <w:rsid w:val="0040462E"/>
    <w:rsid w:val="00406338"/>
    <w:rsid w:val="00414757"/>
    <w:rsid w:val="00416208"/>
    <w:rsid w:val="004174CD"/>
    <w:rsid w:val="00420179"/>
    <w:rsid w:val="00425315"/>
    <w:rsid w:val="004265D8"/>
    <w:rsid w:val="0042724C"/>
    <w:rsid w:val="004311A1"/>
    <w:rsid w:val="00431A62"/>
    <w:rsid w:val="004367F9"/>
    <w:rsid w:val="004369CA"/>
    <w:rsid w:val="00437443"/>
    <w:rsid w:val="004432E2"/>
    <w:rsid w:val="00443B5A"/>
    <w:rsid w:val="00443E9E"/>
    <w:rsid w:val="0044595A"/>
    <w:rsid w:val="0044755B"/>
    <w:rsid w:val="004477DE"/>
    <w:rsid w:val="00450ADB"/>
    <w:rsid w:val="00451081"/>
    <w:rsid w:val="00453474"/>
    <w:rsid w:val="00454A75"/>
    <w:rsid w:val="00454C1C"/>
    <w:rsid w:val="00455F1E"/>
    <w:rsid w:val="00460AF6"/>
    <w:rsid w:val="00465ABC"/>
    <w:rsid w:val="00466761"/>
    <w:rsid w:val="0046750F"/>
    <w:rsid w:val="00470E72"/>
    <w:rsid w:val="004730D0"/>
    <w:rsid w:val="00474185"/>
    <w:rsid w:val="004758A1"/>
    <w:rsid w:val="00476000"/>
    <w:rsid w:val="004778DD"/>
    <w:rsid w:val="004810D1"/>
    <w:rsid w:val="00481402"/>
    <w:rsid w:val="00481DF4"/>
    <w:rsid w:val="004828C6"/>
    <w:rsid w:val="00483BA0"/>
    <w:rsid w:val="00484CFA"/>
    <w:rsid w:val="00485CC5"/>
    <w:rsid w:val="00486D52"/>
    <w:rsid w:val="0049015C"/>
    <w:rsid w:val="00493E1D"/>
    <w:rsid w:val="00494CD0"/>
    <w:rsid w:val="00497DD5"/>
    <w:rsid w:val="004A7334"/>
    <w:rsid w:val="004A7852"/>
    <w:rsid w:val="004B03F7"/>
    <w:rsid w:val="004B46EC"/>
    <w:rsid w:val="004B6227"/>
    <w:rsid w:val="004B66EC"/>
    <w:rsid w:val="004B7FA5"/>
    <w:rsid w:val="004C2B49"/>
    <w:rsid w:val="004C3342"/>
    <w:rsid w:val="004C34DD"/>
    <w:rsid w:val="004D08D5"/>
    <w:rsid w:val="004D23EB"/>
    <w:rsid w:val="004D7789"/>
    <w:rsid w:val="004E485E"/>
    <w:rsid w:val="004F00E1"/>
    <w:rsid w:val="004F3CD0"/>
    <w:rsid w:val="004F417E"/>
    <w:rsid w:val="004F45F8"/>
    <w:rsid w:val="004F6FB7"/>
    <w:rsid w:val="0050181A"/>
    <w:rsid w:val="005027B1"/>
    <w:rsid w:val="00504D35"/>
    <w:rsid w:val="00506D27"/>
    <w:rsid w:val="00510FE4"/>
    <w:rsid w:val="00511CDB"/>
    <w:rsid w:val="00512F03"/>
    <w:rsid w:val="00516132"/>
    <w:rsid w:val="00516FFF"/>
    <w:rsid w:val="00520665"/>
    <w:rsid w:val="00520BE7"/>
    <w:rsid w:val="00521273"/>
    <w:rsid w:val="00525152"/>
    <w:rsid w:val="00530824"/>
    <w:rsid w:val="00531A68"/>
    <w:rsid w:val="005327B2"/>
    <w:rsid w:val="00532F4C"/>
    <w:rsid w:val="005344BC"/>
    <w:rsid w:val="0053614F"/>
    <w:rsid w:val="00536B60"/>
    <w:rsid w:val="005374F1"/>
    <w:rsid w:val="00540F5D"/>
    <w:rsid w:val="005413AF"/>
    <w:rsid w:val="005419CC"/>
    <w:rsid w:val="00547DE8"/>
    <w:rsid w:val="00550170"/>
    <w:rsid w:val="00551C63"/>
    <w:rsid w:val="00551EA3"/>
    <w:rsid w:val="0055387E"/>
    <w:rsid w:val="005552E8"/>
    <w:rsid w:val="00555A6D"/>
    <w:rsid w:val="0056151C"/>
    <w:rsid w:val="00561EAE"/>
    <w:rsid w:val="005645F2"/>
    <w:rsid w:val="005724A9"/>
    <w:rsid w:val="005731FD"/>
    <w:rsid w:val="0057451A"/>
    <w:rsid w:val="00577ABF"/>
    <w:rsid w:val="00577B89"/>
    <w:rsid w:val="00581897"/>
    <w:rsid w:val="00582CB3"/>
    <w:rsid w:val="00583DF4"/>
    <w:rsid w:val="0059012B"/>
    <w:rsid w:val="00594231"/>
    <w:rsid w:val="0059507C"/>
    <w:rsid w:val="0059515A"/>
    <w:rsid w:val="0059637C"/>
    <w:rsid w:val="005A44D2"/>
    <w:rsid w:val="005A6A4B"/>
    <w:rsid w:val="005A6A99"/>
    <w:rsid w:val="005A6B50"/>
    <w:rsid w:val="005A7ED9"/>
    <w:rsid w:val="005B042B"/>
    <w:rsid w:val="005B2C9F"/>
    <w:rsid w:val="005B4FAD"/>
    <w:rsid w:val="005C2ABD"/>
    <w:rsid w:val="005C3811"/>
    <w:rsid w:val="005C5CFB"/>
    <w:rsid w:val="005C68E6"/>
    <w:rsid w:val="005C6D30"/>
    <w:rsid w:val="005D4513"/>
    <w:rsid w:val="005D4846"/>
    <w:rsid w:val="005D4B99"/>
    <w:rsid w:val="005D53A6"/>
    <w:rsid w:val="005D74DB"/>
    <w:rsid w:val="005D7DB5"/>
    <w:rsid w:val="005E4980"/>
    <w:rsid w:val="005F5149"/>
    <w:rsid w:val="005F7097"/>
    <w:rsid w:val="00600ABA"/>
    <w:rsid w:val="0060148D"/>
    <w:rsid w:val="00605370"/>
    <w:rsid w:val="00605B1B"/>
    <w:rsid w:val="006061FD"/>
    <w:rsid w:val="00606672"/>
    <w:rsid w:val="0060737B"/>
    <w:rsid w:val="006077B6"/>
    <w:rsid w:val="00610B55"/>
    <w:rsid w:val="006174F8"/>
    <w:rsid w:val="00620E2D"/>
    <w:rsid w:val="00621EDB"/>
    <w:rsid w:val="00623432"/>
    <w:rsid w:val="00624F50"/>
    <w:rsid w:val="006300A1"/>
    <w:rsid w:val="0063056A"/>
    <w:rsid w:val="0063356B"/>
    <w:rsid w:val="0063393B"/>
    <w:rsid w:val="006375AF"/>
    <w:rsid w:val="006379FF"/>
    <w:rsid w:val="00640A08"/>
    <w:rsid w:val="006418FA"/>
    <w:rsid w:val="00643D27"/>
    <w:rsid w:val="00644124"/>
    <w:rsid w:val="006444B4"/>
    <w:rsid w:val="00644F57"/>
    <w:rsid w:val="0064556D"/>
    <w:rsid w:val="00645702"/>
    <w:rsid w:val="00646DA5"/>
    <w:rsid w:val="00654146"/>
    <w:rsid w:val="006553EE"/>
    <w:rsid w:val="00655508"/>
    <w:rsid w:val="00655B15"/>
    <w:rsid w:val="00656C1D"/>
    <w:rsid w:val="00656E63"/>
    <w:rsid w:val="00657B41"/>
    <w:rsid w:val="00657D73"/>
    <w:rsid w:val="0066020D"/>
    <w:rsid w:val="00660E23"/>
    <w:rsid w:val="0066423C"/>
    <w:rsid w:val="00664CFA"/>
    <w:rsid w:val="00665A88"/>
    <w:rsid w:val="00667320"/>
    <w:rsid w:val="006700E5"/>
    <w:rsid w:val="006702EE"/>
    <w:rsid w:val="00672857"/>
    <w:rsid w:val="00673B39"/>
    <w:rsid w:val="00674AF5"/>
    <w:rsid w:val="006770E4"/>
    <w:rsid w:val="00677155"/>
    <w:rsid w:val="00677A96"/>
    <w:rsid w:val="00677C4A"/>
    <w:rsid w:val="006814C5"/>
    <w:rsid w:val="00684A6C"/>
    <w:rsid w:val="006878DA"/>
    <w:rsid w:val="006903AB"/>
    <w:rsid w:val="00692E81"/>
    <w:rsid w:val="00694468"/>
    <w:rsid w:val="006A2A85"/>
    <w:rsid w:val="006A4347"/>
    <w:rsid w:val="006A462C"/>
    <w:rsid w:val="006A4C59"/>
    <w:rsid w:val="006A61DE"/>
    <w:rsid w:val="006B02EE"/>
    <w:rsid w:val="006B2EC9"/>
    <w:rsid w:val="006B3291"/>
    <w:rsid w:val="006B6B3F"/>
    <w:rsid w:val="006C0298"/>
    <w:rsid w:val="006C2EF9"/>
    <w:rsid w:val="006D2713"/>
    <w:rsid w:val="006D4F0A"/>
    <w:rsid w:val="006D7C2B"/>
    <w:rsid w:val="006E1CEE"/>
    <w:rsid w:val="006E315D"/>
    <w:rsid w:val="006E3C98"/>
    <w:rsid w:val="006E7F8E"/>
    <w:rsid w:val="006F0283"/>
    <w:rsid w:val="006F657A"/>
    <w:rsid w:val="006F7B1B"/>
    <w:rsid w:val="0070076D"/>
    <w:rsid w:val="00700D89"/>
    <w:rsid w:val="007013F6"/>
    <w:rsid w:val="007019CC"/>
    <w:rsid w:val="00703AFC"/>
    <w:rsid w:val="00703F16"/>
    <w:rsid w:val="007076B4"/>
    <w:rsid w:val="007117AE"/>
    <w:rsid w:val="00713121"/>
    <w:rsid w:val="00715660"/>
    <w:rsid w:val="00720C37"/>
    <w:rsid w:val="00721485"/>
    <w:rsid w:val="007220A9"/>
    <w:rsid w:val="007248A4"/>
    <w:rsid w:val="0072639A"/>
    <w:rsid w:val="00730A3C"/>
    <w:rsid w:val="00731F3C"/>
    <w:rsid w:val="00741269"/>
    <w:rsid w:val="00747B8E"/>
    <w:rsid w:val="00747E40"/>
    <w:rsid w:val="007518F1"/>
    <w:rsid w:val="00752595"/>
    <w:rsid w:val="00755650"/>
    <w:rsid w:val="0075742D"/>
    <w:rsid w:val="00757A38"/>
    <w:rsid w:val="007608B6"/>
    <w:rsid w:val="007610D7"/>
    <w:rsid w:val="00761301"/>
    <w:rsid w:val="0076138D"/>
    <w:rsid w:val="00761D00"/>
    <w:rsid w:val="00762A2D"/>
    <w:rsid w:val="00762ECB"/>
    <w:rsid w:val="00763EAE"/>
    <w:rsid w:val="00765BD5"/>
    <w:rsid w:val="00771D1C"/>
    <w:rsid w:val="00774388"/>
    <w:rsid w:val="007759BD"/>
    <w:rsid w:val="0077610D"/>
    <w:rsid w:val="00776E7E"/>
    <w:rsid w:val="00782CDB"/>
    <w:rsid w:val="007837D7"/>
    <w:rsid w:val="00786939"/>
    <w:rsid w:val="0078795D"/>
    <w:rsid w:val="0079023B"/>
    <w:rsid w:val="0079485B"/>
    <w:rsid w:val="007953FC"/>
    <w:rsid w:val="007A1AA9"/>
    <w:rsid w:val="007A1E85"/>
    <w:rsid w:val="007A21EF"/>
    <w:rsid w:val="007A312B"/>
    <w:rsid w:val="007A4187"/>
    <w:rsid w:val="007A6190"/>
    <w:rsid w:val="007A6F87"/>
    <w:rsid w:val="007A7EB3"/>
    <w:rsid w:val="007B0933"/>
    <w:rsid w:val="007B330E"/>
    <w:rsid w:val="007B56D9"/>
    <w:rsid w:val="007B78B1"/>
    <w:rsid w:val="007C06F3"/>
    <w:rsid w:val="007C35BA"/>
    <w:rsid w:val="007C7179"/>
    <w:rsid w:val="007C733E"/>
    <w:rsid w:val="007D0D4F"/>
    <w:rsid w:val="007D5DEB"/>
    <w:rsid w:val="007D6B09"/>
    <w:rsid w:val="007E2A33"/>
    <w:rsid w:val="007E4D17"/>
    <w:rsid w:val="007F2DBA"/>
    <w:rsid w:val="007F3C5C"/>
    <w:rsid w:val="007F51D3"/>
    <w:rsid w:val="007F6BA2"/>
    <w:rsid w:val="00805B95"/>
    <w:rsid w:val="00806246"/>
    <w:rsid w:val="008137F3"/>
    <w:rsid w:val="00813AFC"/>
    <w:rsid w:val="008145CB"/>
    <w:rsid w:val="00817520"/>
    <w:rsid w:val="00817BF8"/>
    <w:rsid w:val="00817EC6"/>
    <w:rsid w:val="00820CDD"/>
    <w:rsid w:val="00822162"/>
    <w:rsid w:val="00823215"/>
    <w:rsid w:val="008245D5"/>
    <w:rsid w:val="00826BB5"/>
    <w:rsid w:val="0083199E"/>
    <w:rsid w:val="008329FF"/>
    <w:rsid w:val="00841813"/>
    <w:rsid w:val="00841EEE"/>
    <w:rsid w:val="00842761"/>
    <w:rsid w:val="008430EC"/>
    <w:rsid w:val="008471F6"/>
    <w:rsid w:val="00850C70"/>
    <w:rsid w:val="0085119C"/>
    <w:rsid w:val="0085161A"/>
    <w:rsid w:val="00853CFB"/>
    <w:rsid w:val="00854DE9"/>
    <w:rsid w:val="00860491"/>
    <w:rsid w:val="00861E8E"/>
    <w:rsid w:val="00862F27"/>
    <w:rsid w:val="008710DB"/>
    <w:rsid w:val="008713C9"/>
    <w:rsid w:val="00873C02"/>
    <w:rsid w:val="008811BC"/>
    <w:rsid w:val="0088171C"/>
    <w:rsid w:val="008818F3"/>
    <w:rsid w:val="00882C56"/>
    <w:rsid w:val="00882E0B"/>
    <w:rsid w:val="00884268"/>
    <w:rsid w:val="0088431D"/>
    <w:rsid w:val="00884436"/>
    <w:rsid w:val="008845F2"/>
    <w:rsid w:val="00886F6F"/>
    <w:rsid w:val="008870AE"/>
    <w:rsid w:val="00890A59"/>
    <w:rsid w:val="00891976"/>
    <w:rsid w:val="008925EB"/>
    <w:rsid w:val="00894AAE"/>
    <w:rsid w:val="008954D5"/>
    <w:rsid w:val="008A0677"/>
    <w:rsid w:val="008A29D2"/>
    <w:rsid w:val="008A360B"/>
    <w:rsid w:val="008A3C5F"/>
    <w:rsid w:val="008A4D86"/>
    <w:rsid w:val="008B3F8C"/>
    <w:rsid w:val="008B7B50"/>
    <w:rsid w:val="008C0D90"/>
    <w:rsid w:val="008C1C03"/>
    <w:rsid w:val="008C2463"/>
    <w:rsid w:val="008D3032"/>
    <w:rsid w:val="008D3303"/>
    <w:rsid w:val="008D72F0"/>
    <w:rsid w:val="008E3020"/>
    <w:rsid w:val="008E4CBC"/>
    <w:rsid w:val="008E555C"/>
    <w:rsid w:val="008F53EB"/>
    <w:rsid w:val="009019DF"/>
    <w:rsid w:val="00903D9E"/>
    <w:rsid w:val="009042AB"/>
    <w:rsid w:val="009060E7"/>
    <w:rsid w:val="009119BD"/>
    <w:rsid w:val="009147D2"/>
    <w:rsid w:val="009152EC"/>
    <w:rsid w:val="00915CAA"/>
    <w:rsid w:val="009162A2"/>
    <w:rsid w:val="00916AB6"/>
    <w:rsid w:val="0092164F"/>
    <w:rsid w:val="00923C84"/>
    <w:rsid w:val="0092466C"/>
    <w:rsid w:val="00931965"/>
    <w:rsid w:val="00931A41"/>
    <w:rsid w:val="00931F51"/>
    <w:rsid w:val="009332BA"/>
    <w:rsid w:val="00933317"/>
    <w:rsid w:val="0093532C"/>
    <w:rsid w:val="00935ED6"/>
    <w:rsid w:val="0094059A"/>
    <w:rsid w:val="00940842"/>
    <w:rsid w:val="00940DF9"/>
    <w:rsid w:val="00943CE4"/>
    <w:rsid w:val="0094495F"/>
    <w:rsid w:val="00944DC1"/>
    <w:rsid w:val="00952E47"/>
    <w:rsid w:val="00954E8F"/>
    <w:rsid w:val="00957F11"/>
    <w:rsid w:val="00957F95"/>
    <w:rsid w:val="009605BA"/>
    <w:rsid w:val="009617FC"/>
    <w:rsid w:val="0096321B"/>
    <w:rsid w:val="00965A04"/>
    <w:rsid w:val="00971FF9"/>
    <w:rsid w:val="0097298A"/>
    <w:rsid w:val="009749B1"/>
    <w:rsid w:val="00974C0C"/>
    <w:rsid w:val="00974E65"/>
    <w:rsid w:val="009752B4"/>
    <w:rsid w:val="0098075D"/>
    <w:rsid w:val="0098357A"/>
    <w:rsid w:val="00984BA4"/>
    <w:rsid w:val="00986821"/>
    <w:rsid w:val="00987231"/>
    <w:rsid w:val="00990F8F"/>
    <w:rsid w:val="009943E9"/>
    <w:rsid w:val="0099571D"/>
    <w:rsid w:val="00996255"/>
    <w:rsid w:val="00997CAD"/>
    <w:rsid w:val="009A0381"/>
    <w:rsid w:val="009A1694"/>
    <w:rsid w:val="009A2F16"/>
    <w:rsid w:val="009A3652"/>
    <w:rsid w:val="009A6CB7"/>
    <w:rsid w:val="009A7DA0"/>
    <w:rsid w:val="009B07EE"/>
    <w:rsid w:val="009B1966"/>
    <w:rsid w:val="009B4254"/>
    <w:rsid w:val="009B5DB5"/>
    <w:rsid w:val="009C15E9"/>
    <w:rsid w:val="009C3B96"/>
    <w:rsid w:val="009D041F"/>
    <w:rsid w:val="009D26D3"/>
    <w:rsid w:val="009D4B49"/>
    <w:rsid w:val="009D60DD"/>
    <w:rsid w:val="009D69D1"/>
    <w:rsid w:val="009D6A03"/>
    <w:rsid w:val="009D6FEF"/>
    <w:rsid w:val="009E05CC"/>
    <w:rsid w:val="009E0AC6"/>
    <w:rsid w:val="009E1326"/>
    <w:rsid w:val="009E2F43"/>
    <w:rsid w:val="009E382F"/>
    <w:rsid w:val="009E664B"/>
    <w:rsid w:val="009E787F"/>
    <w:rsid w:val="009F3376"/>
    <w:rsid w:val="009F4EBB"/>
    <w:rsid w:val="009F5F67"/>
    <w:rsid w:val="009F650E"/>
    <w:rsid w:val="009F6DC2"/>
    <w:rsid w:val="00A004B8"/>
    <w:rsid w:val="00A0081B"/>
    <w:rsid w:val="00A013C6"/>
    <w:rsid w:val="00A021F7"/>
    <w:rsid w:val="00A03F0C"/>
    <w:rsid w:val="00A05FE8"/>
    <w:rsid w:val="00A10442"/>
    <w:rsid w:val="00A119A9"/>
    <w:rsid w:val="00A151BA"/>
    <w:rsid w:val="00A20D59"/>
    <w:rsid w:val="00A21152"/>
    <w:rsid w:val="00A25273"/>
    <w:rsid w:val="00A27402"/>
    <w:rsid w:val="00A32228"/>
    <w:rsid w:val="00A3456D"/>
    <w:rsid w:val="00A3549C"/>
    <w:rsid w:val="00A35B4E"/>
    <w:rsid w:val="00A400C2"/>
    <w:rsid w:val="00A42979"/>
    <w:rsid w:val="00A43A0D"/>
    <w:rsid w:val="00A43F7B"/>
    <w:rsid w:val="00A4555A"/>
    <w:rsid w:val="00A46173"/>
    <w:rsid w:val="00A46E6B"/>
    <w:rsid w:val="00A47A32"/>
    <w:rsid w:val="00A47BA9"/>
    <w:rsid w:val="00A47F46"/>
    <w:rsid w:val="00A515BF"/>
    <w:rsid w:val="00A51CBC"/>
    <w:rsid w:val="00A51E22"/>
    <w:rsid w:val="00A54223"/>
    <w:rsid w:val="00A562AA"/>
    <w:rsid w:val="00A611B2"/>
    <w:rsid w:val="00A62325"/>
    <w:rsid w:val="00A64447"/>
    <w:rsid w:val="00A64962"/>
    <w:rsid w:val="00A71DC1"/>
    <w:rsid w:val="00A73CF2"/>
    <w:rsid w:val="00A7430D"/>
    <w:rsid w:val="00A7684D"/>
    <w:rsid w:val="00A776DE"/>
    <w:rsid w:val="00A80E0E"/>
    <w:rsid w:val="00A82603"/>
    <w:rsid w:val="00A82DA9"/>
    <w:rsid w:val="00A83277"/>
    <w:rsid w:val="00A83432"/>
    <w:rsid w:val="00A870DF"/>
    <w:rsid w:val="00A902AE"/>
    <w:rsid w:val="00A9095E"/>
    <w:rsid w:val="00A9551B"/>
    <w:rsid w:val="00A967F3"/>
    <w:rsid w:val="00A96AD2"/>
    <w:rsid w:val="00A96BC6"/>
    <w:rsid w:val="00AA03F4"/>
    <w:rsid w:val="00AA1000"/>
    <w:rsid w:val="00AA2063"/>
    <w:rsid w:val="00AA5358"/>
    <w:rsid w:val="00AB0CDC"/>
    <w:rsid w:val="00AB125F"/>
    <w:rsid w:val="00AB3203"/>
    <w:rsid w:val="00AB42E8"/>
    <w:rsid w:val="00AC140C"/>
    <w:rsid w:val="00AC423A"/>
    <w:rsid w:val="00AC4D5A"/>
    <w:rsid w:val="00AD0194"/>
    <w:rsid w:val="00AD19FB"/>
    <w:rsid w:val="00AD3DE2"/>
    <w:rsid w:val="00AD4B4A"/>
    <w:rsid w:val="00AD5FA5"/>
    <w:rsid w:val="00AD7177"/>
    <w:rsid w:val="00AE3565"/>
    <w:rsid w:val="00AE5A07"/>
    <w:rsid w:val="00AE64A3"/>
    <w:rsid w:val="00AE6FC6"/>
    <w:rsid w:val="00AE7767"/>
    <w:rsid w:val="00AF0AF1"/>
    <w:rsid w:val="00AF1981"/>
    <w:rsid w:val="00AF1B6A"/>
    <w:rsid w:val="00AF2650"/>
    <w:rsid w:val="00AF51C0"/>
    <w:rsid w:val="00AF635A"/>
    <w:rsid w:val="00AF759A"/>
    <w:rsid w:val="00B005F8"/>
    <w:rsid w:val="00B01A6F"/>
    <w:rsid w:val="00B11BA5"/>
    <w:rsid w:val="00B24CE1"/>
    <w:rsid w:val="00B30FFD"/>
    <w:rsid w:val="00B32464"/>
    <w:rsid w:val="00B3507C"/>
    <w:rsid w:val="00B35BF3"/>
    <w:rsid w:val="00B37F40"/>
    <w:rsid w:val="00B42642"/>
    <w:rsid w:val="00B42C73"/>
    <w:rsid w:val="00B4752B"/>
    <w:rsid w:val="00B50DFB"/>
    <w:rsid w:val="00B53F34"/>
    <w:rsid w:val="00B546D0"/>
    <w:rsid w:val="00B56B3D"/>
    <w:rsid w:val="00B57A4F"/>
    <w:rsid w:val="00B61EA9"/>
    <w:rsid w:val="00B66237"/>
    <w:rsid w:val="00B66AA3"/>
    <w:rsid w:val="00B670DB"/>
    <w:rsid w:val="00B768D8"/>
    <w:rsid w:val="00B77295"/>
    <w:rsid w:val="00B811D7"/>
    <w:rsid w:val="00B81593"/>
    <w:rsid w:val="00B817C2"/>
    <w:rsid w:val="00B819B5"/>
    <w:rsid w:val="00B8232C"/>
    <w:rsid w:val="00B8594D"/>
    <w:rsid w:val="00B87177"/>
    <w:rsid w:val="00B9288B"/>
    <w:rsid w:val="00B92FBE"/>
    <w:rsid w:val="00B93EC6"/>
    <w:rsid w:val="00B952EA"/>
    <w:rsid w:val="00BA0283"/>
    <w:rsid w:val="00BA2FAC"/>
    <w:rsid w:val="00BA587A"/>
    <w:rsid w:val="00BB5CC1"/>
    <w:rsid w:val="00BC23C8"/>
    <w:rsid w:val="00BC3ACF"/>
    <w:rsid w:val="00BC7AFE"/>
    <w:rsid w:val="00BD0C45"/>
    <w:rsid w:val="00BD4D27"/>
    <w:rsid w:val="00BD6090"/>
    <w:rsid w:val="00BD6B85"/>
    <w:rsid w:val="00BE116C"/>
    <w:rsid w:val="00BE2068"/>
    <w:rsid w:val="00BE3007"/>
    <w:rsid w:val="00BE659C"/>
    <w:rsid w:val="00BE6652"/>
    <w:rsid w:val="00BF01B0"/>
    <w:rsid w:val="00BF0EB9"/>
    <w:rsid w:val="00BF33F4"/>
    <w:rsid w:val="00BF4033"/>
    <w:rsid w:val="00BF4B25"/>
    <w:rsid w:val="00BF6429"/>
    <w:rsid w:val="00C02EE3"/>
    <w:rsid w:val="00C04559"/>
    <w:rsid w:val="00C11E49"/>
    <w:rsid w:val="00C12771"/>
    <w:rsid w:val="00C15393"/>
    <w:rsid w:val="00C17632"/>
    <w:rsid w:val="00C17713"/>
    <w:rsid w:val="00C2186C"/>
    <w:rsid w:val="00C22A08"/>
    <w:rsid w:val="00C25EE7"/>
    <w:rsid w:val="00C27A66"/>
    <w:rsid w:val="00C40EC9"/>
    <w:rsid w:val="00C42F1B"/>
    <w:rsid w:val="00C463E3"/>
    <w:rsid w:val="00C50360"/>
    <w:rsid w:val="00C5195D"/>
    <w:rsid w:val="00C52059"/>
    <w:rsid w:val="00C5455A"/>
    <w:rsid w:val="00C5702C"/>
    <w:rsid w:val="00C578D0"/>
    <w:rsid w:val="00C60E62"/>
    <w:rsid w:val="00C6467E"/>
    <w:rsid w:val="00C658AB"/>
    <w:rsid w:val="00C72034"/>
    <w:rsid w:val="00C7316A"/>
    <w:rsid w:val="00C73A8A"/>
    <w:rsid w:val="00C75CD0"/>
    <w:rsid w:val="00C75F81"/>
    <w:rsid w:val="00C82A96"/>
    <w:rsid w:val="00C86B66"/>
    <w:rsid w:val="00C932F0"/>
    <w:rsid w:val="00C94598"/>
    <w:rsid w:val="00CA0D62"/>
    <w:rsid w:val="00CA2264"/>
    <w:rsid w:val="00CA2E90"/>
    <w:rsid w:val="00CA5B7C"/>
    <w:rsid w:val="00CB1542"/>
    <w:rsid w:val="00CB16B1"/>
    <w:rsid w:val="00CB24F2"/>
    <w:rsid w:val="00CB3431"/>
    <w:rsid w:val="00CC4611"/>
    <w:rsid w:val="00CC52B0"/>
    <w:rsid w:val="00CC6595"/>
    <w:rsid w:val="00CC6FEB"/>
    <w:rsid w:val="00CD0637"/>
    <w:rsid w:val="00CE07E3"/>
    <w:rsid w:val="00CE0CB5"/>
    <w:rsid w:val="00CE0F0B"/>
    <w:rsid w:val="00CE1962"/>
    <w:rsid w:val="00CE4208"/>
    <w:rsid w:val="00CE5EF0"/>
    <w:rsid w:val="00CE71C4"/>
    <w:rsid w:val="00CF07A4"/>
    <w:rsid w:val="00CF0B05"/>
    <w:rsid w:val="00CF102B"/>
    <w:rsid w:val="00CF1FA9"/>
    <w:rsid w:val="00CF5091"/>
    <w:rsid w:val="00CF7098"/>
    <w:rsid w:val="00CF75AF"/>
    <w:rsid w:val="00CF785A"/>
    <w:rsid w:val="00CF7B9C"/>
    <w:rsid w:val="00D008A4"/>
    <w:rsid w:val="00D0449B"/>
    <w:rsid w:val="00D12DAC"/>
    <w:rsid w:val="00D15523"/>
    <w:rsid w:val="00D1625A"/>
    <w:rsid w:val="00D17B6F"/>
    <w:rsid w:val="00D23903"/>
    <w:rsid w:val="00D24262"/>
    <w:rsid w:val="00D32511"/>
    <w:rsid w:val="00D40122"/>
    <w:rsid w:val="00D4033A"/>
    <w:rsid w:val="00D403F8"/>
    <w:rsid w:val="00D4236D"/>
    <w:rsid w:val="00D44C98"/>
    <w:rsid w:val="00D463AB"/>
    <w:rsid w:val="00D466C1"/>
    <w:rsid w:val="00D50842"/>
    <w:rsid w:val="00D55D0E"/>
    <w:rsid w:val="00D56280"/>
    <w:rsid w:val="00D5698C"/>
    <w:rsid w:val="00D576D8"/>
    <w:rsid w:val="00D57AAD"/>
    <w:rsid w:val="00D57B55"/>
    <w:rsid w:val="00D62C2A"/>
    <w:rsid w:val="00D65686"/>
    <w:rsid w:val="00D65B56"/>
    <w:rsid w:val="00D65BF7"/>
    <w:rsid w:val="00D66818"/>
    <w:rsid w:val="00D66FCB"/>
    <w:rsid w:val="00D77DE6"/>
    <w:rsid w:val="00D801F6"/>
    <w:rsid w:val="00D802F9"/>
    <w:rsid w:val="00D81E38"/>
    <w:rsid w:val="00D820BC"/>
    <w:rsid w:val="00D83A98"/>
    <w:rsid w:val="00D84B0B"/>
    <w:rsid w:val="00D84FEE"/>
    <w:rsid w:val="00D856CB"/>
    <w:rsid w:val="00D860F7"/>
    <w:rsid w:val="00D90B38"/>
    <w:rsid w:val="00D91508"/>
    <w:rsid w:val="00D91756"/>
    <w:rsid w:val="00D93962"/>
    <w:rsid w:val="00D95C50"/>
    <w:rsid w:val="00D96177"/>
    <w:rsid w:val="00D9677D"/>
    <w:rsid w:val="00D9729D"/>
    <w:rsid w:val="00DA0450"/>
    <w:rsid w:val="00DA26F9"/>
    <w:rsid w:val="00DA30B7"/>
    <w:rsid w:val="00DA4561"/>
    <w:rsid w:val="00DA5388"/>
    <w:rsid w:val="00DA7855"/>
    <w:rsid w:val="00DA7FD4"/>
    <w:rsid w:val="00DB08EB"/>
    <w:rsid w:val="00DB14DF"/>
    <w:rsid w:val="00DB1A1D"/>
    <w:rsid w:val="00DB26BA"/>
    <w:rsid w:val="00DB5AD0"/>
    <w:rsid w:val="00DB5D7D"/>
    <w:rsid w:val="00DB6231"/>
    <w:rsid w:val="00DB74F0"/>
    <w:rsid w:val="00DB7CF7"/>
    <w:rsid w:val="00DC3135"/>
    <w:rsid w:val="00DC3B17"/>
    <w:rsid w:val="00DC3EAF"/>
    <w:rsid w:val="00DC4DB8"/>
    <w:rsid w:val="00DC6D05"/>
    <w:rsid w:val="00DC75FA"/>
    <w:rsid w:val="00DD21E0"/>
    <w:rsid w:val="00DD553E"/>
    <w:rsid w:val="00DD6BD3"/>
    <w:rsid w:val="00DD7937"/>
    <w:rsid w:val="00DE1864"/>
    <w:rsid w:val="00DE5A62"/>
    <w:rsid w:val="00DE5FFE"/>
    <w:rsid w:val="00DE75B2"/>
    <w:rsid w:val="00DF0A28"/>
    <w:rsid w:val="00DF2751"/>
    <w:rsid w:val="00DF28D8"/>
    <w:rsid w:val="00DF3037"/>
    <w:rsid w:val="00DF5AB9"/>
    <w:rsid w:val="00DF72A3"/>
    <w:rsid w:val="00E00CB1"/>
    <w:rsid w:val="00E02BA2"/>
    <w:rsid w:val="00E02F81"/>
    <w:rsid w:val="00E039E9"/>
    <w:rsid w:val="00E04957"/>
    <w:rsid w:val="00E0682A"/>
    <w:rsid w:val="00E101F2"/>
    <w:rsid w:val="00E115BF"/>
    <w:rsid w:val="00E14C1B"/>
    <w:rsid w:val="00E14EF5"/>
    <w:rsid w:val="00E1551D"/>
    <w:rsid w:val="00E16E31"/>
    <w:rsid w:val="00E17CD0"/>
    <w:rsid w:val="00E20835"/>
    <w:rsid w:val="00E21A96"/>
    <w:rsid w:val="00E22919"/>
    <w:rsid w:val="00E239D8"/>
    <w:rsid w:val="00E24973"/>
    <w:rsid w:val="00E34B3F"/>
    <w:rsid w:val="00E36710"/>
    <w:rsid w:val="00E36A2B"/>
    <w:rsid w:val="00E36E41"/>
    <w:rsid w:val="00E37105"/>
    <w:rsid w:val="00E402C4"/>
    <w:rsid w:val="00E40E27"/>
    <w:rsid w:val="00E41364"/>
    <w:rsid w:val="00E46335"/>
    <w:rsid w:val="00E46EC4"/>
    <w:rsid w:val="00E50112"/>
    <w:rsid w:val="00E503CB"/>
    <w:rsid w:val="00E5096E"/>
    <w:rsid w:val="00E552D7"/>
    <w:rsid w:val="00E563E2"/>
    <w:rsid w:val="00E56E35"/>
    <w:rsid w:val="00E621DB"/>
    <w:rsid w:val="00E62D4D"/>
    <w:rsid w:val="00E676AC"/>
    <w:rsid w:val="00E82D0E"/>
    <w:rsid w:val="00E83808"/>
    <w:rsid w:val="00E845EA"/>
    <w:rsid w:val="00E8627C"/>
    <w:rsid w:val="00E91CAC"/>
    <w:rsid w:val="00E95FF7"/>
    <w:rsid w:val="00EA1F05"/>
    <w:rsid w:val="00EA2417"/>
    <w:rsid w:val="00EA2E83"/>
    <w:rsid w:val="00EA38E3"/>
    <w:rsid w:val="00EA4FC0"/>
    <w:rsid w:val="00EA6327"/>
    <w:rsid w:val="00EB0A41"/>
    <w:rsid w:val="00EB7363"/>
    <w:rsid w:val="00EB7C2C"/>
    <w:rsid w:val="00EB7FD3"/>
    <w:rsid w:val="00EC067A"/>
    <w:rsid w:val="00EC0893"/>
    <w:rsid w:val="00EC0D81"/>
    <w:rsid w:val="00EC2C1E"/>
    <w:rsid w:val="00EC4C08"/>
    <w:rsid w:val="00EC5567"/>
    <w:rsid w:val="00EC578D"/>
    <w:rsid w:val="00EC588E"/>
    <w:rsid w:val="00EC62F4"/>
    <w:rsid w:val="00ED04CE"/>
    <w:rsid w:val="00ED0726"/>
    <w:rsid w:val="00ED1A48"/>
    <w:rsid w:val="00ED2241"/>
    <w:rsid w:val="00ED3047"/>
    <w:rsid w:val="00ED34D5"/>
    <w:rsid w:val="00ED41D8"/>
    <w:rsid w:val="00ED5A24"/>
    <w:rsid w:val="00EE1D41"/>
    <w:rsid w:val="00EE20EA"/>
    <w:rsid w:val="00EE2865"/>
    <w:rsid w:val="00EE3C95"/>
    <w:rsid w:val="00EE7FA7"/>
    <w:rsid w:val="00EF0FCD"/>
    <w:rsid w:val="00EF5F0C"/>
    <w:rsid w:val="00F03DC4"/>
    <w:rsid w:val="00F042B9"/>
    <w:rsid w:val="00F0430D"/>
    <w:rsid w:val="00F06348"/>
    <w:rsid w:val="00F07FA8"/>
    <w:rsid w:val="00F12CEC"/>
    <w:rsid w:val="00F15C50"/>
    <w:rsid w:val="00F16F7F"/>
    <w:rsid w:val="00F17B70"/>
    <w:rsid w:val="00F2031A"/>
    <w:rsid w:val="00F306CB"/>
    <w:rsid w:val="00F311B9"/>
    <w:rsid w:val="00F37671"/>
    <w:rsid w:val="00F37C96"/>
    <w:rsid w:val="00F40369"/>
    <w:rsid w:val="00F440EA"/>
    <w:rsid w:val="00F45212"/>
    <w:rsid w:val="00F468CF"/>
    <w:rsid w:val="00F46D1B"/>
    <w:rsid w:val="00F4711F"/>
    <w:rsid w:val="00F501F5"/>
    <w:rsid w:val="00F504F2"/>
    <w:rsid w:val="00F514C4"/>
    <w:rsid w:val="00F51CE1"/>
    <w:rsid w:val="00F51D01"/>
    <w:rsid w:val="00F52992"/>
    <w:rsid w:val="00F54E51"/>
    <w:rsid w:val="00F55023"/>
    <w:rsid w:val="00F55414"/>
    <w:rsid w:val="00F56919"/>
    <w:rsid w:val="00F62A61"/>
    <w:rsid w:val="00F654F5"/>
    <w:rsid w:val="00F66936"/>
    <w:rsid w:val="00F73EDF"/>
    <w:rsid w:val="00F75619"/>
    <w:rsid w:val="00F75E8A"/>
    <w:rsid w:val="00F76782"/>
    <w:rsid w:val="00F8010E"/>
    <w:rsid w:val="00F80A91"/>
    <w:rsid w:val="00F81663"/>
    <w:rsid w:val="00F82FBD"/>
    <w:rsid w:val="00F87D09"/>
    <w:rsid w:val="00F9378E"/>
    <w:rsid w:val="00F94BA8"/>
    <w:rsid w:val="00F94D0F"/>
    <w:rsid w:val="00F96DAC"/>
    <w:rsid w:val="00F96DAD"/>
    <w:rsid w:val="00FA208C"/>
    <w:rsid w:val="00FA25F7"/>
    <w:rsid w:val="00FA56FD"/>
    <w:rsid w:val="00FA593C"/>
    <w:rsid w:val="00FA6844"/>
    <w:rsid w:val="00FA7201"/>
    <w:rsid w:val="00FA7D22"/>
    <w:rsid w:val="00FB2589"/>
    <w:rsid w:val="00FB420E"/>
    <w:rsid w:val="00FB73C8"/>
    <w:rsid w:val="00FB74B9"/>
    <w:rsid w:val="00FB7C55"/>
    <w:rsid w:val="00FC0B25"/>
    <w:rsid w:val="00FC2BFE"/>
    <w:rsid w:val="00FC42DC"/>
    <w:rsid w:val="00FC711C"/>
    <w:rsid w:val="00FD6F13"/>
    <w:rsid w:val="00FE0348"/>
    <w:rsid w:val="00FE054B"/>
    <w:rsid w:val="00FE25F9"/>
    <w:rsid w:val="00FE59E7"/>
    <w:rsid w:val="00FF43CB"/>
    <w:rsid w:val="00FF476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571B"/>
  <w15:chartTrackingRefBased/>
  <w15:docId w15:val="{865A07CF-1116-4405-80EF-B334D13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9D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A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E0AC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4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268"/>
    <w:rPr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268"/>
    <w:rPr>
      <w:kern w:val="0"/>
      <w:lang w:val="es-ES"/>
      <w14:ligatures w14:val="none"/>
    </w:rPr>
  </w:style>
  <w:style w:type="table" w:styleId="PlainTable5">
    <w:name w:val="Plain Table 5"/>
    <w:basedOn w:val="TableNormal"/>
    <w:uiPriority w:val="45"/>
    <w:rsid w:val="00C73A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BB5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221F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221F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F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221F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A832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PlainTable3">
    <w:name w:val="Plain Table 3"/>
    <w:basedOn w:val="TableNormal"/>
    <w:uiPriority w:val="43"/>
    <w:rsid w:val="006A2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A2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454C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09B7-4976-47C1-A381-426A8B0A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9813</TotalTime>
  <Pages>1</Pages>
  <Words>3398</Words>
  <Characters>19372</Characters>
  <Application>Microsoft Office Word</Application>
  <DocSecurity>4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Leonardo Arredondo Peña</dc:creator>
  <cp:keywords/>
  <dc:description/>
  <cp:lastModifiedBy>Ana Lucía Estrada Meza</cp:lastModifiedBy>
  <cp:revision>819</cp:revision>
  <dcterms:created xsi:type="dcterms:W3CDTF">2023-12-07T01:42:00Z</dcterms:created>
  <dcterms:modified xsi:type="dcterms:W3CDTF">2025-01-21T18:48:00Z</dcterms:modified>
</cp:coreProperties>
</file>