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spacing w:before="8"/>
        <w:rPr>
          <w:rFonts w:ascii="Times New Roman"/>
          <w:i w:val="0"/>
          <w:sz w:val="24"/>
        </w:rPr>
      </w:pPr>
    </w:p>
    <w:p>
      <w:pPr>
        <w:spacing w:before="0"/>
        <w:ind w:left="242" w:right="22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2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1877</w:t>
      </w:r>
    </w:p>
    <w:p>
      <w:pPr>
        <w:spacing w:line="240" w:lineRule="auto" w:before="2"/>
        <w:rPr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 en la</w:t>
      </w:r>
      <w:r>
        <w:rPr>
          <w:b/>
          <w:i/>
          <w:color w:val="231F20"/>
          <w:spacing w:val="-65"/>
          <w:sz w:val="24"/>
        </w:rPr>
        <w:t> </w:t>
      </w:r>
      <w:r>
        <w:rPr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 Correos el 1° de</w:t>
      </w:r>
      <w:r>
        <w:rPr>
          <w:b/>
          <w:i/>
          <w:color w:val="231F20"/>
          <w:spacing w:val="-64"/>
          <w:sz w:val="24"/>
        </w:rPr>
        <w:t> </w:t>
      </w:r>
      <w:r>
        <w:rPr>
          <w:b/>
          <w:i/>
          <w:color w:val="231F20"/>
          <w:sz w:val="24"/>
        </w:rPr>
        <w:t>Marzo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1924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3" w:after="1"/>
        <w:rPr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139</w:t>
            </w:r>
          </w:p>
        </w:tc>
      </w:tr>
    </w:tbl>
    <w:p>
      <w:pPr>
        <w:spacing w:line="240" w:lineRule="auto" w:before="2"/>
        <w:rPr>
          <w:b/>
          <w:i/>
          <w:sz w:val="25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spacing w:before="11"/>
        <w:rPr>
          <w:rFonts w:ascii="Times New Roman"/>
          <w:b/>
          <w:i w:val="0"/>
          <w:sz w:val="21"/>
        </w:rPr>
      </w:pPr>
    </w:p>
    <w:p>
      <w:pPr>
        <w:spacing w:line="208" w:lineRule="auto" w:before="0"/>
        <w:ind w:left="1738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609" w:space="492"/>
            <w:col w:w="5619"/>
          </w:cols>
        </w:sect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pStyle w:val="BodyText"/>
        <w:rPr>
          <w:rFonts w:ascii="Arial MT"/>
          <w:i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spacing w:before="4"/>
        <w:rPr>
          <w:rFonts w:ascii="Arial MT"/>
          <w:i w:val="0"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855616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b/>
                        <w:color w:val="231F20"/>
                        <w:sz w:val="18"/>
                      </w:rPr>
                      <w:t>PERIÓDICO OFICIAL</w:t>
                      <w:tab/>
                      <w:t>14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JULIO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5855104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1113;top:4677;width:1521;height:1525" type="#_x0000_t75" stroked="false">
              <v:imagedata r:id="rId8" o:title=""/>
            </v:shape>
            <v:shape style="position:absolute;left:5265;top:9313;width:1653;height:1653" type="#_x0000_t75" stroked="false">
              <v:imagedata r:id="rId9" o:title=""/>
            </v:shape>
            <w10:wrap type="none"/>
          </v:group>
        </w:pict>
      </w:r>
    </w:p>
    <w:p>
      <w:pPr>
        <w:pStyle w:val="Heading2"/>
        <w:spacing w:line="224" w:lineRule="exact"/>
        <w:ind w:left="486" w:right="24"/>
      </w:pPr>
      <w:r>
        <w:rPr>
          <w:color w:val="231F20"/>
        </w:rPr>
        <w:t>14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Julio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2022</w:t>
      </w:r>
    </w:p>
    <w:p>
      <w:pPr>
        <w:spacing w:line="178" w:lineRule="exact" w:before="0"/>
        <w:ind w:left="486" w:right="23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before="108"/>
        <w:ind w:left="502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366" w:space="1723"/>
            <w:col w:w="4631"/>
          </w:cols>
        </w:sectPr>
      </w:pPr>
    </w:p>
    <w:p>
      <w:pPr>
        <w:pStyle w:val="BodyText"/>
        <w:spacing w:before="6"/>
        <w:rPr>
          <w:rFonts w:ascii="Arial MT"/>
          <w:i w:val="0"/>
          <w:sz w:val="9"/>
        </w:rPr>
      </w:pPr>
      <w:r>
        <w:rPr/>
        <w:pict>
          <v:group style="position:absolute;margin-left:28.8995pt;margin-top:56.700012pt;width:453pt;height:552.75pt;mso-position-horizontal-relative:page;mso-position-vertical-relative:page;z-index:-15854080" coordorigin="578,1134" coordsize="9060,11055"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82;top:1134;width:3856;height:11055" type="#_x0000_t75" stroked="false">
              <v:imagedata r:id="rId11" o:title=""/>
            </v:shape>
            <v:shape style="position:absolute;left:2935;top:3184;width:4992;height:2" coordorigin="2936,3185" coordsize="4992,0" path="m2936,3185l2936,3185m7927,3185l7927,3185e" filled="false" stroked="true" strokeweight="1pt" strokecolor="#231f20">
              <v:path arrowok="t"/>
              <v:stroke dashstyle="solid"/>
            </v:shape>
            <v:shape style="position:absolute;left:4942;top:5625;width:2985;height:2" coordorigin="4942,5626" coordsize="2985,0" path="m4942,5626l4942,5626m7927,5626l7927,5626e" filled="false" stroked="true" strokeweight="1pt" strokecolor="#231f20">
              <v:path arrowok="t"/>
              <v:stroke dashstyle="solid"/>
            </v:shape>
            <v:shape style="position:absolute;left:6121;top:4289;width:1806;height:2" coordorigin="6122,4290" coordsize="1806,0" path="m6122,4290l6122,4290m7927,4290l7927,4290e" filled="false" stroked="true" strokeweight="1pt" strokecolor="#231f20">
              <v:path arrowok="t"/>
              <v:stroke dashstyle="solid"/>
            </v:shape>
            <v:shape style="position:absolute;left:5441;top:6927;width:2486;height:2" coordorigin="5441,6928" coordsize="2486,0" path="m5441,6928l5441,6928m7927,6928l7927,6928e" filled="false" stroked="true" strokeweight="1pt" strokecolor="#231f20">
              <v:path arrowok="t"/>
              <v:stroke dashstyle="solid"/>
            </v:shape>
            <v:shape style="position:absolute;left:5622;top:7805;width:2305;height:2" coordorigin="5623,7805" coordsize="2305,0" path="m5623,7805l5623,7805m7927,7805l7927,7805e" filled="false" stroked="true" strokeweight="1pt" strokecolor="#231f20">
              <v:path arrowok="t"/>
              <v:stroke dashstyle="solid"/>
            </v:shape>
            <v:shape style="position:absolute;left:6648;top:9117;width:1279;height:2" coordorigin="6649,9118" coordsize="1279,0" path="m6649,9118l6649,9118m7927,9118l7927,9118e" filled="false" stroked="true" strokeweight="1pt" strokecolor="#231f20">
              <v:path arrowok="t"/>
              <v:stroke dashstyle="solid"/>
            </v:shape>
            <v:shape style="position:absolute;left:4942;top:11104;width:2985;height:2" coordorigin="4942,11105" coordsize="2985,0" path="m4942,11105l4942,11105m7927,11105l7927,11105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rFonts w:ascii="Arial MT"/>
          <w:i w:val="0"/>
          <w:sz w:val="2"/>
        </w:rPr>
      </w:pPr>
      <w:bookmarkStart w:name="_bookmark0" w:id="1"/>
      <w:bookmarkEnd w:id="1"/>
      <w:r>
        <w:rPr>
          <w:i w:val="0"/>
        </w:rPr>
      </w:r>
      <w:r>
        <w:rPr>
          <w:rFonts w:ascii="Arial MT"/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Arial MT"/>
          <w:i w:val="0"/>
          <w:sz w:val="2"/>
        </w:rPr>
      </w:r>
    </w:p>
    <w:p>
      <w:pPr>
        <w:pStyle w:val="BodyText"/>
        <w:spacing w:before="1"/>
        <w:rPr>
          <w:rFonts w:ascii="Arial MT"/>
          <w:i w:val="0"/>
          <w:sz w:val="19"/>
        </w:rPr>
      </w:pPr>
    </w:p>
    <w:p>
      <w:pPr>
        <w:pStyle w:val="Heading1"/>
        <w:ind w:right="1213" w:firstLine="0"/>
        <w:jc w:val="center"/>
      </w:pPr>
      <w:r>
        <w:rPr>
          <w:color w:val="FFFFFF"/>
        </w:rPr>
        <w:t>S U</w:t>
      </w:r>
      <w:r>
        <w:rPr>
          <w:color w:val="FFFFFF"/>
          <w:spacing w:val="-1"/>
        </w:rPr>
        <w:t> </w:t>
      </w:r>
      <w:r>
        <w:rPr>
          <w:color w:val="FFFFFF"/>
        </w:rPr>
        <w:t>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</w:t>
      </w:r>
      <w:r>
        <w:rPr>
          <w:color w:val="FFFFFF"/>
          <w:spacing w:val="-1"/>
        </w:rPr>
        <w:t> </w:t>
      </w:r>
      <w:r>
        <w:rPr>
          <w:color w:val="FFFFFF"/>
        </w:rPr>
        <w:t>I O :</w:t>
      </w:r>
    </w:p>
    <w:p>
      <w:pPr>
        <w:spacing w:line="240" w:lineRule="auto" w:before="5"/>
        <w:rPr>
          <w:b/>
          <w:sz w:val="15"/>
        </w:rPr>
      </w:pPr>
    </w:p>
    <w:p>
      <w:pPr>
        <w:pStyle w:val="BodyText"/>
        <w:spacing w:line="300" w:lineRule="auto"/>
        <w:ind w:left="536" w:right="127" w:hanging="393"/>
      </w:pPr>
      <w:r>
        <w:rPr>
          <w:color w:val="231F20"/>
        </w:rPr>
        <w:t>Para consultar directamente una publicación determinada en el ejemplar electrónico, pulsar o hacer clic en el texto del título en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Sumario.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regresar</w:t>
      </w:r>
      <w:r>
        <w:rPr>
          <w:color w:val="231F20"/>
          <w:spacing w:val="-1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Sumario,</w:t>
      </w:r>
      <w:r>
        <w:rPr>
          <w:color w:val="231F20"/>
          <w:spacing w:val="-1"/>
        </w:rPr>
        <w:t> </w:t>
      </w:r>
      <w:r>
        <w:rPr>
          <w:color w:val="231F20"/>
        </w:rPr>
        <w:t>pulsar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hacer</w:t>
      </w:r>
      <w:r>
        <w:rPr>
          <w:color w:val="231F20"/>
          <w:spacing w:val="-2"/>
        </w:rPr>
        <w:t> </w:t>
      </w:r>
      <w:r>
        <w:rPr>
          <w:color w:val="231F20"/>
        </w:rPr>
        <w:t>clic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Periódico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Oficial,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fecha 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página</w:t>
      </w:r>
      <w:r>
        <w:rPr>
          <w:b/>
          <w:color w:val="231F20"/>
          <w:spacing w:val="39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encabezado.</w:t>
      </w:r>
    </w:p>
    <w:p>
      <w:pPr>
        <w:spacing w:line="240" w:lineRule="auto" w:before="6"/>
        <w:rPr>
          <w:i/>
          <w:sz w:val="10"/>
        </w:rPr>
      </w:pPr>
    </w:p>
    <w:p>
      <w:pPr>
        <w:spacing w:before="94"/>
        <w:ind w:left="1537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TRIBUNAL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pacing w:val="-1"/>
          <w:sz w:val="18"/>
        </w:rPr>
        <w:t>FEDERAL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pacing w:val="-1"/>
          <w:sz w:val="18"/>
        </w:rPr>
        <w:t>DE</w:t>
      </w:r>
      <w:r>
        <w:rPr>
          <w:b/>
          <w:color w:val="231F20"/>
          <w:sz w:val="18"/>
        </w:rPr>
        <w:t> </w:t>
      </w:r>
      <w:r>
        <w:rPr>
          <w:b/>
          <w:color w:val="231F20"/>
          <w:spacing w:val="-1"/>
          <w:sz w:val="18"/>
        </w:rPr>
        <w:t>JUSTICIA</w:t>
      </w:r>
      <w:r>
        <w:rPr>
          <w:b/>
          <w:color w:val="231F20"/>
          <w:spacing w:val="-14"/>
          <w:sz w:val="18"/>
        </w:rPr>
        <w:t> </w:t>
      </w:r>
      <w:r>
        <w:rPr>
          <w:b/>
          <w:color w:val="231F20"/>
          <w:spacing w:val="-1"/>
          <w:sz w:val="18"/>
        </w:rPr>
        <w:t>ADMINISTRATIVA</w:t>
      </w:r>
    </w:p>
    <w:p>
      <w:pPr>
        <w:spacing w:line="240" w:lineRule="auto" w:before="1"/>
        <w:rPr>
          <w:b/>
          <w:sz w:val="1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447" w:val="left" w:leader="none"/>
              <w:tab w:pos="7990" w:val="left" w:leader="none"/>
            </w:tabs>
            <w:spacing w:line="254" w:lineRule="auto" w:before="94"/>
            <w:ind w:right="624" w:firstLine="3"/>
            <w:rPr>
              <w:rFonts w:ascii="Arial" w:hAnsi="Arial"/>
              <w:b/>
            </w:rPr>
          </w:pPr>
          <w:r>
            <w:rPr>
              <w:color w:val="231F20"/>
            </w:rPr>
            <w:t>PUNTOS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Resolutivos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Resolución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21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febrero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2022,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desprende</w:t>
          </w:r>
          <w:r>
            <w:rPr>
              <w:color w:val="231F20"/>
              <w:spacing w:val="5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expediente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219/21-RA1-01-5.</w:t>
          </w:r>
          <w:r>
            <w:rPr>
              <w:color w:val="231F20"/>
              <w:spacing w:val="-20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2"/>
            </w:rPr>
            <w:t>3</w:t>
          </w:r>
        </w:p>
        <w:p>
          <w:pPr>
            <w:pStyle w:val="TOC2"/>
          </w:pPr>
          <w:r>
            <w:rPr>
              <w:color w:val="231F20"/>
            </w:rPr>
            <w:t>PODER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JUDICIAL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GUANAJUATO</w:t>
          </w:r>
        </w:p>
        <w:p>
          <w:pPr>
            <w:pStyle w:val="TOC1"/>
          </w:pPr>
          <w:r>
            <w:rPr>
              <w:color w:val="231F20"/>
            </w:rPr>
            <w:t>EDICTO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anunciando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emplazamiento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demandado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Sergio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Ángeles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Aguirre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dentro</w:t>
          </w:r>
        </w:p>
        <w:p>
          <w:pPr>
            <w:pStyle w:val="TOC1"/>
            <w:tabs>
              <w:tab w:pos="7447" w:val="left" w:leader="none"/>
              <w:tab w:pos="7990" w:val="left" w:leader="none"/>
            </w:tabs>
            <w:spacing w:before="13"/>
            <w:rPr>
              <w:rFonts w:ascii="Arial" w:hAnsi="Arial"/>
              <w:b/>
            </w:rPr>
          </w:pPr>
          <w:r>
            <w:rPr>
              <w:color w:val="231F20"/>
            </w:rPr>
            <w:t>del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Procedimiento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Laboral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Ordinario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Individual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L-0027/2021-I.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</w:rPr>
            <w:t>8</w:t>
          </w:r>
        </w:p>
        <w:p>
          <w:pPr>
            <w:pStyle w:val="TOC1"/>
          </w:pPr>
          <w:r>
            <w:rPr>
              <w:color w:val="231F20"/>
            </w:rPr>
            <w:t>EDICTO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anunciando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emplazamiento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como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tercero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interesado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Gustavo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Martínez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Rangel,</w:t>
          </w:r>
        </w:p>
        <w:p>
          <w:pPr>
            <w:pStyle w:val="TOC1"/>
            <w:tabs>
              <w:tab w:pos="7990" w:val="left" w:leader="none"/>
            </w:tabs>
            <w:spacing w:before="13"/>
            <w:rPr>
              <w:rFonts w:ascii="Arial" w:hAnsi="Arial"/>
              <w:b/>
            </w:rPr>
          </w:pPr>
          <w:r>
            <w:rPr>
              <w:color w:val="231F20"/>
              <w:spacing w:val="-1"/>
            </w:rPr>
            <w:t>dentro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1"/>
            </w:rPr>
            <w:t>del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Procedimiento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Especial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  <w:spacing w:val="-1"/>
            </w:rPr>
            <w:t>sobre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Designación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Beneficiarios</w:t>
          </w:r>
          <w:r>
            <w:rPr>
              <w:color w:val="231F20"/>
              <w:spacing w:val="-15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</w:rPr>
            <w:t>L-0172/2022-I.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Arial" w:hAnsi="Arial"/>
              <w:b/>
              <w:color w:val="231F20"/>
            </w:rPr>
            <w:t>9</w:t>
          </w:r>
        </w:p>
        <w:p>
          <w:pPr>
            <w:pStyle w:val="TOC1"/>
            <w:tabs>
              <w:tab w:pos="7447" w:val="left" w:leader="none"/>
              <w:tab w:pos="7945" w:val="left" w:leader="none"/>
            </w:tabs>
            <w:spacing w:line="254" w:lineRule="auto"/>
            <w:ind w:right="589"/>
            <w:rPr>
              <w:rFonts w:ascii="Arial" w:hAnsi="Arial"/>
              <w:b/>
            </w:rPr>
          </w:pPr>
          <w:r>
            <w:rPr>
              <w:color w:val="231F20"/>
            </w:rPr>
            <w:t>EDICTO</w:t>
          </w:r>
          <w:r>
            <w:rPr>
              <w:color w:val="231F20"/>
              <w:spacing w:val="10"/>
            </w:rPr>
            <w:t> </w:t>
          </w:r>
          <w:r>
            <w:rPr>
              <w:color w:val="231F20"/>
            </w:rPr>
            <w:t>anunciando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emplazamiento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Luz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Carmen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Macías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Casas,</w:t>
          </w:r>
          <w:r>
            <w:rPr>
              <w:color w:val="231F20"/>
              <w:spacing w:val="58"/>
            </w:rPr>
            <w:t> </w:t>
          </w:r>
          <w:r>
            <w:rPr>
              <w:color w:val="231F20"/>
            </w:rPr>
            <w:t>dentro</w:t>
          </w:r>
          <w:r>
            <w:rPr>
              <w:color w:val="231F20"/>
              <w:spacing w:val="59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Procedimiento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Laboral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Ordinario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L-240/2022-I.</w:t>
          </w:r>
          <w:r>
            <w:rPr>
              <w:color w:val="231F20"/>
              <w:spacing w:val="-24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12"/>
            </w:rPr>
            <w:t>11</w:t>
          </w:r>
        </w:p>
        <w:p>
          <w:pPr>
            <w:pStyle w:val="TOC2"/>
          </w:pPr>
          <w:r>
            <w:rPr>
              <w:color w:val="231F20"/>
              <w:spacing w:val="-1"/>
            </w:rPr>
            <w:t>SECRETARÍA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1"/>
            </w:rPr>
            <w:t>DE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1"/>
            </w:rPr>
            <w:t>FINANZAS,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INVERSIÓN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ADMINISTRACIÓN</w:t>
          </w:r>
        </w:p>
        <w:p>
          <w:pPr>
            <w:pStyle w:val="TOC1"/>
            <w:spacing w:line="254" w:lineRule="auto"/>
            <w:ind w:right="1101" w:firstLine="3"/>
          </w:pPr>
          <w:r>
            <w:rPr>
              <w:color w:val="231F20"/>
            </w:rPr>
            <w:t>ACUERDO</w:t>
          </w:r>
          <w:r>
            <w:rPr>
              <w:color w:val="231F20"/>
              <w:spacing w:val="7"/>
            </w:rPr>
            <w:t> </w:t>
          </w:r>
          <w:r>
            <w:rPr>
              <w:color w:val="231F20"/>
            </w:rPr>
            <w:t>emitido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Secretario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Finanzas,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Inversión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Administración,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  <w:spacing w:val="-1"/>
            </w:rPr>
            <w:t>da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conocer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a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los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1"/>
            </w:rPr>
            <w:t>Municipios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del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  <w:spacing w:val="-1"/>
            </w:rPr>
            <w:t>Estado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ajuste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factor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participaciones</w:t>
          </w:r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before="2"/>
            <w:rPr>
              <w:rFonts w:ascii="Arial"/>
              <w:b/>
            </w:rPr>
          </w:pPr>
          <w:r>
            <w:rPr>
              <w:color w:val="231F20"/>
            </w:rPr>
            <w:t>correspondiente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al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primer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semestre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2022.</w:t>
          </w:r>
          <w:r>
            <w:rPr>
              <w:color w:val="231F20"/>
              <w:spacing w:val="-25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/>
              <w:b/>
              <w:color w:val="231F20"/>
            </w:rPr>
            <w:t>12</w:t>
          </w:r>
        </w:p>
        <w:p>
          <w:pPr>
            <w:pStyle w:val="TOC1"/>
            <w:spacing w:line="254" w:lineRule="auto"/>
            <w:ind w:right="1101" w:firstLine="3"/>
          </w:pPr>
          <w:r>
            <w:rPr>
              <w:color w:val="231F20"/>
            </w:rPr>
            <w:t>ACUERDO</w:t>
          </w:r>
          <w:r>
            <w:rPr>
              <w:color w:val="231F20"/>
              <w:spacing w:val="28"/>
            </w:rPr>
            <w:t> </w:t>
          </w:r>
          <w:r>
            <w:rPr>
              <w:color w:val="231F20"/>
            </w:rPr>
            <w:t>emitido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Secretario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Finanzas,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Inversión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y</w:t>
          </w:r>
          <w:r>
            <w:rPr>
              <w:color w:val="231F20"/>
              <w:spacing w:val="14"/>
            </w:rPr>
            <w:t> </w:t>
          </w:r>
          <w:r>
            <w:rPr>
              <w:color w:val="231F20"/>
            </w:rPr>
            <w:t>Administración,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por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que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se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da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conocer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Municipios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Guanajuato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los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montos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participaciones</w:t>
          </w:r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before="1"/>
            <w:rPr>
              <w:rFonts w:ascii="Arial"/>
              <w:b/>
            </w:rPr>
          </w:pPr>
          <w:r>
            <w:rPr>
              <w:color w:val="231F20"/>
            </w:rPr>
            <w:t>pagadas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durante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segundo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trimestre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Ejercicio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Fiscal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2022.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/>
              <w:b/>
              <w:color w:val="231F20"/>
            </w:rPr>
            <w:t>36</w:t>
          </w:r>
        </w:p>
        <w:p>
          <w:pPr>
            <w:pStyle w:val="TOC3"/>
            <w:spacing w:line="254" w:lineRule="auto"/>
          </w:pPr>
          <w:hyperlink w:history="true" w:anchor="_TOC_250000">
            <w:r>
              <w:rPr>
                <w:color w:val="231F20"/>
                <w:spacing w:val="-2"/>
              </w:rPr>
              <w:t>TRIBUNAL DE JUSTICIA </w:t>
            </w:r>
            <w:r>
              <w:rPr>
                <w:color w:val="231F20"/>
                <w:spacing w:val="-1"/>
              </w:rPr>
              <w:t>ADMINISTRATIVA</w:t>
            </w:r>
            <w:r>
              <w:rPr>
                <w:color w:val="231F20"/>
                <w:spacing w:val="-47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GUANAJUATO</w:t>
            </w:r>
          </w:hyperlink>
        </w:p>
        <w:p>
          <w:pPr>
            <w:pStyle w:val="TOC1"/>
            <w:tabs>
              <w:tab w:pos="7447" w:val="left" w:leader="none"/>
              <w:tab w:pos="7940" w:val="left" w:leader="none"/>
            </w:tabs>
            <w:spacing w:line="254" w:lineRule="auto" w:before="221"/>
            <w:ind w:right="574" w:firstLine="3"/>
            <w:rPr>
              <w:rFonts w:ascii="Arial" w:hAnsi="Arial"/>
              <w:b/>
            </w:rPr>
          </w:pPr>
          <w:hyperlink w:history="true" w:anchor="_bookmark1">
            <w:r>
              <w:rPr>
                <w:color w:val="231F20"/>
              </w:rPr>
              <w:t>ACUERDO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mediante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cual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aprobó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el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Sistema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Guardias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relativo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al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Primer</w:t>
            </w:r>
            <w:r>
              <w:rPr>
                <w:color w:val="231F20"/>
                <w:spacing w:val="50"/>
              </w:rPr>
              <w:t> </w:t>
            </w:r>
            <w:r>
              <w:rPr>
                <w:color w:val="231F20"/>
              </w:rPr>
              <w:t>Periodo</w:t>
            </w:r>
          </w:hyperlink>
          <w:r>
            <w:rPr>
              <w:color w:val="231F20"/>
              <w:spacing w:val="1"/>
            </w:rPr>
            <w:t> </w:t>
          </w:r>
          <w:hyperlink w:history="true" w:anchor="_bookmark1">
            <w:r>
              <w:rPr>
                <w:color w:val="231F20"/>
              </w:rPr>
              <w:t>vacacional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Tribunal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Guanajuato.</w:t>
            </w:r>
            <w:r>
              <w:rPr>
                <w:color w:val="231F20"/>
                <w:spacing w:val="-30"/>
              </w:rPr>
              <w:t> </w:t>
            </w:r>
          </w:hyperlink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1"/>
            </w:rPr>
            <w:t>43</w:t>
          </w:r>
        </w:p>
        <w:p>
          <w:pPr>
            <w:pStyle w:val="TOC2"/>
          </w:pPr>
          <w:r>
            <w:rPr>
              <w:color w:val="231F20"/>
            </w:rPr>
            <w:t>FISCALÍA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GENERAL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ESTADO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GUANAJUATO</w:t>
          </w:r>
        </w:p>
        <w:p>
          <w:pPr>
            <w:pStyle w:val="TOC1"/>
            <w:spacing w:line="254" w:lineRule="auto"/>
            <w:ind w:right="1237" w:firstLine="3"/>
            <w:jc w:val="both"/>
          </w:pPr>
          <w:r>
            <w:rPr>
              <w:color w:val="231F20"/>
            </w:rPr>
            <w:t>EDICTO</w:t>
          </w:r>
          <w:r>
            <w:rPr>
              <w:color w:val="231F20"/>
              <w:spacing w:val="35"/>
            </w:rPr>
            <w:t> </w:t>
          </w:r>
          <w:r>
            <w:rPr>
              <w:color w:val="231F20"/>
            </w:rPr>
            <w:t>para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notificar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Gema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Diana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Onofre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Hernández,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el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Acuerdo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33"/>
            </w:rPr>
            <w:t> </w:t>
          </w:r>
          <w:r>
            <w:rPr>
              <w:color w:val="231F20"/>
            </w:rPr>
            <w:t>Levantamiento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Aseguramiento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dictado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Carpeta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Investigación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118364/2019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fecha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</w:rPr>
            <w:t>08 de junio de 2021, radicada en la Unidad Especializada en Técnicas e Investigaciones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Especializadas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Guanajuato,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respecto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del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bien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consistente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en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una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motocicleta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marca</w:t>
          </w:r>
          <w:r>
            <w:rPr>
              <w:color w:val="231F20"/>
              <w:spacing w:val="-48"/>
            </w:rPr>
            <w:t> </w:t>
          </w:r>
          <w:r>
            <w:rPr>
              <w:color w:val="231F20"/>
            </w:rPr>
            <w:t>HARLEY</w:t>
          </w:r>
          <w:r>
            <w:rPr>
              <w:color w:val="231F20"/>
              <w:spacing w:val="13"/>
            </w:rPr>
            <w:t> </w:t>
          </w:r>
          <w:r>
            <w:rPr>
              <w:color w:val="231F20"/>
            </w:rPr>
            <w:t>DAVDSON,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color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café/negro,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línea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Sportster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XL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1200,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modelo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2004,</w:t>
          </w:r>
          <w:r>
            <w:rPr>
              <w:color w:val="231F20"/>
              <w:spacing w:val="17"/>
            </w:rPr>
            <w:t> </w:t>
          </w:r>
          <w:r>
            <w:rPr>
              <w:color w:val="231F20"/>
            </w:rPr>
            <w:t>número</w:t>
          </w:r>
          <w:r>
            <w:rPr>
              <w:color w:val="231F20"/>
              <w:spacing w:val="18"/>
            </w:rPr>
            <w:t> </w:t>
          </w:r>
          <w:r>
            <w:rPr>
              <w:color w:val="231F20"/>
            </w:rPr>
            <w:t>de</w:t>
          </w:r>
        </w:p>
        <w:p>
          <w:pPr>
            <w:pStyle w:val="TOC1"/>
            <w:tabs>
              <w:tab w:pos="7447" w:val="left" w:leader="none"/>
            </w:tabs>
            <w:spacing w:before="3"/>
            <w:jc w:val="both"/>
            <w:rPr>
              <w:rFonts w:ascii="Arial" w:hAnsi="Arial"/>
              <w:b/>
            </w:rPr>
          </w:pPr>
          <w:r>
            <w:rPr>
              <w:color w:val="231F20"/>
            </w:rPr>
            <w:t>serie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1HD1CGP174K434251,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sin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tablillas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de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circulació</w:t>
          </w:r>
          <w:r>
            <w:rPr>
              <w:color w:val="231F20"/>
              <w:u w:val="dotted" w:color="231F20"/>
            </w:rPr>
            <w:t>n.</w:t>
            <w:tab/>
          </w:r>
          <w:r>
            <w:rPr>
              <w:rFonts w:ascii="Arial" w:hAnsi="Arial"/>
              <w:b/>
              <w:color w:val="231F20"/>
            </w:rPr>
            <w:t>45</w:t>
          </w:r>
        </w:p>
      </w:sdtContent>
    </w:sdt>
    <w:p>
      <w:pPr>
        <w:spacing w:after="0"/>
        <w:jc w:val="both"/>
        <w:rPr>
          <w:rFonts w:ascii="Arial" w:hAnsi="Arial"/>
        </w:rPr>
        <w:sectPr>
          <w:headerReference w:type="default" r:id="rId10"/>
          <w:pgSz w:w="9640" w:h="13040"/>
          <w:pgMar w:header="540" w:footer="0" w:top="740" w:bottom="280" w:left="460" w:right="460"/>
        </w:sectPr>
      </w:pPr>
    </w:p>
    <w:p>
      <w:pPr>
        <w:pStyle w:val="Heading1"/>
        <w:spacing w:line="208" w:lineRule="auto" w:before="367"/>
        <w:ind w:left="2058"/>
      </w:pPr>
      <w:r>
        <w:rPr/>
        <w:pict>
          <v:group style="position:absolute;margin-left:0pt;margin-top:56.700012pt;width:453.85pt;height:552.75pt;mso-position-horizontal-relative:page;mso-position-vertical-relative:page;z-index:-15853568" coordorigin="0,1134" coordsize="9077,11055">
            <v:shape style="position:absolute;left:0;top:1134;width:3891;height:11055" type="#_x0000_t75" stroked="false">
              <v:imagedata r:id="rId5" o:title=""/>
            </v:shape>
            <v:shape style="position:absolute;left:590;top:1134;width:8487;height:867" coordorigin="590,1134" coordsize="8487,867" path="m8897,1134l770,1134,700,1148,643,1187,604,1244,590,1314,590,1820,604,1891,643,1948,700,1986,770,2000,8897,2000,8967,1986,9024,1948,9063,1891,9077,1820,9077,1314,9063,1244,9024,1187,8967,1148,8897,1134xe" filled="true" fillcolor="#231f20" stroked="false">
              <v:path arrowok="t"/>
              <v:fill type="solid"/>
            </v:shape>
            <v:shape style="position:absolute;left:573;top:2128;width:8464;height:10061" type="#_x0000_t75" stroked="false">
              <v:imagedata r:id="rId13" o:title=""/>
            </v:shape>
            <w10:wrap type="none"/>
          </v:group>
        </w:pict>
      </w:r>
      <w:bookmarkStart w:name="_TOC_250000" w:id="2"/>
      <w:bookmarkStart w:name="_bookmark1" w:id="3"/>
      <w:r>
        <w:rPr>
          <w:b w:val="0"/>
        </w:rPr>
      </w:r>
      <w:r>
        <w:rPr>
          <w:color w:val="FFFFFF"/>
          <w:spacing w:val="-3"/>
        </w:rPr>
        <w:t>TRIBUNAL </w:t>
      </w:r>
      <w:r>
        <w:rPr>
          <w:color w:val="FFFFFF"/>
          <w:spacing w:val="-2"/>
        </w:rPr>
        <w:t>DE JUSTICIA ADMINISTRATIVA</w:t>
      </w:r>
      <w:r>
        <w:rPr>
          <w:color w:val="FFFFFF"/>
          <w:spacing w:val="-86"/>
        </w:rPr>
        <w:t> </w:t>
      </w:r>
      <w:r>
        <w:rPr>
          <w:color w:val="FFFFFF"/>
        </w:rPr>
        <w:t>DEL</w:t>
      </w:r>
      <w:r>
        <w:rPr>
          <w:color w:val="FFFFFF"/>
          <w:spacing w:val="-11"/>
        </w:rPr>
        <w:t> </w:t>
      </w:r>
      <w:r>
        <w:rPr>
          <w:color w:val="FFFFFF"/>
        </w:rPr>
        <w:t>ESTADO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bookmarkEnd w:id="2"/>
      <w:r>
        <w:rPr>
          <w:color w:val="FFFFFF"/>
        </w:rPr>
        <w:t>GUANAJUATO</w:t>
      </w:r>
    </w:p>
    <w:p>
      <w:pPr>
        <w:spacing w:after="0" w:line="208" w:lineRule="auto"/>
        <w:sectPr>
          <w:headerReference w:type="default" r:id="rId12"/>
          <w:pgSz w:w="9640" w:h="13040"/>
          <w:pgMar w:header="537" w:footer="0" w:top="860" w:bottom="280" w:left="460" w:right="460"/>
        </w:sectPr>
      </w:pPr>
    </w:p>
    <w:p>
      <w:pPr>
        <w:spacing w:line="240" w:lineRule="auto" w:before="6" w:after="1"/>
        <w:rPr>
          <w:b/>
          <w:sz w:val="9"/>
        </w:rPr>
      </w:pPr>
      <w:r>
        <w:rPr/>
        <w:pict>
          <v:group style="position:absolute;margin-left:28.65pt;margin-top:56.700012pt;width:453.25pt;height:552.75pt;mso-position-horizontal-relative:page;mso-position-vertical-relative:page;z-index:15731712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3;height:5728" type="#_x0000_t75" stroked="false">
              <v:imagedata r:id="rId15" o:title=""/>
            </v:shape>
            <w10:wrap type="none"/>
          </v:group>
        </w:pict>
      </w:r>
    </w:p>
    <w:p>
      <w:pPr>
        <w:spacing w:line="20" w:lineRule="exact"/>
        <w:ind w:left="106" w:right="0" w:firstLine="0"/>
        <w:rPr>
          <w:sz w:val="2"/>
        </w:rPr>
      </w:pP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sectPr>
      <w:headerReference w:type="default" r:id="rId14"/>
      <w:pgSz w:w="9640" w:h="13040"/>
      <w:pgMar w:header="540" w:footer="0" w:top="7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5855616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8551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84.05pt;height:12.1pt;mso-position-horizontal-relative:page;mso-position-vertical-relative:page;z-index:-15854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14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8540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5853568" from="28.65pt,39.734013pt" to="453.25pt,39.734013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853056" from="28.65pt,43.066013pt" to="453.25pt,43.066013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6pt;margin-top:25.854752pt;width:91.05pt;height:12.1pt;mso-position-horizontal-relative:page;mso-position-vertical-relative:page;z-index:-158525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84.05pt;height:12.1pt;mso-position-horizontal-relative:page;mso-position-vertical-relative:page;z-index:-158520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14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2.549713pt;margin-top:25.854752pt;width:51.7pt;height:12.1pt;mso-position-horizontal-relative:page;mso-position-vertical-relative:page;z-index:-15851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43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5851008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1.7pt;height:12.1pt;mso-position-horizontal-relative:page;mso-position-vertical-relative:page;z-index:-15850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b/>
                      <w:color w:val="231F20"/>
                      <w:spacing w:val="4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44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196198pt;margin-top:26.00485pt;width:84.05pt;height:12.1pt;mso-position-horizontal-relative:page;mso-position-vertical-relative:page;z-index:-158499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14</w:t>
                  </w:r>
                  <w:r>
                    <w:rPr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JULIO</w:t>
                  </w:r>
                  <w:r>
                    <w:rPr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2197pt;margin-top:26.00485pt;width:91.05pt;height:12.1pt;mso-position-horizontal-relative:page;mso-position-vertical-relative:page;z-index:-158494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w:history="true" w:anchor="_bookmark0">
                  <w:r>
                    <w:rPr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33"/>
      <w:ind w:left="123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21"/>
      <w:ind w:left="1148" w:right="2262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1985" w:right="3093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5"/>
      <w:szCs w:val="1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48" w:right="1008" w:hanging="830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71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image" Target="media/image6.png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2022-10-04T16:37:41Z</dcterms:created>
  <dcterms:modified xsi:type="dcterms:W3CDTF">2022-10-04T16:37:41Z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2022-10-04T00:00:00Z</vt:filetime>
  </property>
</Properties>
</file>