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67" w:rsidRDefault="00A8705D" w:rsidP="00FF1C97">
      <w:pPr>
        <w:spacing w:after="0"/>
        <w:jc w:val="both"/>
      </w:pPr>
      <w:r>
        <w:rPr>
          <w:noProof/>
          <w:lang w:val="es-MX" w:eastAsia="es-MX"/>
        </w:rPr>
        <w:drawing>
          <wp:anchor distT="0" distB="0" distL="114300" distR="114300" simplePos="0" relativeHeight="251658240" behindDoc="1" locked="0" layoutInCell="1" allowOverlap="1" wp14:anchorId="6AD334F2" wp14:editId="43A31995">
            <wp:simplePos x="0" y="0"/>
            <wp:positionH relativeFrom="column">
              <wp:posOffset>-1105535</wp:posOffset>
            </wp:positionH>
            <wp:positionV relativeFrom="paragraph">
              <wp:posOffset>-931968</wp:posOffset>
            </wp:positionV>
            <wp:extent cx="7797800" cy="10090815"/>
            <wp:effectExtent l="0" t="0" r="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S-06.jpg"/>
                    <pic:cNvPicPr/>
                  </pic:nvPicPr>
                  <pic:blipFill>
                    <a:blip r:embed="rId8">
                      <a:extLst>
                        <a:ext uri="{28A0092B-C50C-407E-A947-70E740481C1C}">
                          <a14:useLocalDpi xmlns:a14="http://schemas.microsoft.com/office/drawing/2010/main" val="0"/>
                        </a:ext>
                      </a:extLst>
                    </a:blip>
                    <a:stretch>
                      <a:fillRect/>
                    </a:stretch>
                  </pic:blipFill>
                  <pic:spPr>
                    <a:xfrm>
                      <a:off x="0" y="0"/>
                      <a:ext cx="7797800" cy="10090815"/>
                    </a:xfrm>
                    <a:prstGeom prst="rect">
                      <a:avLst/>
                    </a:prstGeom>
                  </pic:spPr>
                </pic:pic>
              </a:graphicData>
            </a:graphic>
            <wp14:sizeRelH relativeFrom="page">
              <wp14:pctWidth>0</wp14:pctWidth>
            </wp14:sizeRelH>
            <wp14:sizeRelV relativeFrom="page">
              <wp14:pctHeight>0</wp14:pctHeight>
            </wp14:sizeRelV>
          </wp:anchor>
        </w:drawing>
      </w: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D22EFE" w:rsidRDefault="00D22EFE" w:rsidP="00FF1C97">
      <w:pPr>
        <w:spacing w:after="0"/>
        <w:jc w:val="both"/>
        <w:rPr>
          <w:rFonts w:ascii="Segoe UI" w:hAnsi="Segoe UI" w:cs="Segoe UI"/>
          <w:b/>
          <w:color w:val="0F243E" w:themeColor="text2" w:themeShade="80"/>
          <w:sz w:val="36"/>
        </w:rPr>
      </w:pPr>
    </w:p>
    <w:p w:rsidR="00D22EFE" w:rsidRDefault="00D22EFE" w:rsidP="00FF1C97">
      <w:pPr>
        <w:spacing w:after="0"/>
        <w:jc w:val="both"/>
        <w:rPr>
          <w:rFonts w:ascii="Segoe UI" w:hAnsi="Segoe UI" w:cs="Segoe UI"/>
          <w:b/>
          <w:color w:val="0F243E" w:themeColor="text2" w:themeShade="80"/>
          <w:sz w:val="36"/>
        </w:rPr>
      </w:pPr>
    </w:p>
    <w:p w:rsidR="00D22EFE" w:rsidRDefault="00D22EFE" w:rsidP="00FF1C97">
      <w:pPr>
        <w:spacing w:after="0"/>
        <w:jc w:val="both"/>
        <w:rPr>
          <w:rFonts w:ascii="Segoe UI" w:hAnsi="Segoe UI" w:cs="Segoe UI"/>
          <w:b/>
          <w:color w:val="0F243E" w:themeColor="text2" w:themeShade="80"/>
          <w:sz w:val="36"/>
        </w:rPr>
      </w:pPr>
    </w:p>
    <w:p w:rsidR="00FF1C97" w:rsidRDefault="00FF1C97" w:rsidP="00FF1C97">
      <w:pPr>
        <w:spacing w:after="0"/>
        <w:jc w:val="both"/>
        <w:rPr>
          <w:rFonts w:ascii="Segoe UI" w:hAnsi="Segoe UI" w:cs="Segoe UI"/>
          <w:b/>
          <w:color w:val="0F243E" w:themeColor="text2" w:themeShade="80"/>
          <w:sz w:val="36"/>
        </w:rPr>
      </w:pPr>
    </w:p>
    <w:p w:rsidR="00FF1C97" w:rsidRDefault="00FF1C97" w:rsidP="00FF1C97">
      <w:pPr>
        <w:spacing w:after="0"/>
        <w:jc w:val="both"/>
        <w:rPr>
          <w:rFonts w:ascii="Segoe UI" w:hAnsi="Segoe UI" w:cs="Segoe UI"/>
          <w:b/>
          <w:color w:val="0F243E" w:themeColor="text2" w:themeShade="80"/>
          <w:sz w:val="36"/>
        </w:rPr>
      </w:pPr>
    </w:p>
    <w:p w:rsidR="00FF1C97" w:rsidRDefault="00FF1C97" w:rsidP="00FF1C97">
      <w:pPr>
        <w:spacing w:after="0"/>
        <w:jc w:val="both"/>
        <w:rPr>
          <w:rFonts w:ascii="Segoe UI" w:hAnsi="Segoe UI" w:cs="Segoe UI"/>
          <w:b/>
          <w:color w:val="0F243E" w:themeColor="text2" w:themeShade="80"/>
          <w:sz w:val="36"/>
        </w:rPr>
      </w:pPr>
    </w:p>
    <w:p w:rsidR="00FF1C97" w:rsidRDefault="00FF1C97" w:rsidP="00FF1C97">
      <w:pPr>
        <w:spacing w:after="0"/>
        <w:jc w:val="both"/>
        <w:rPr>
          <w:rFonts w:ascii="Segoe UI" w:hAnsi="Segoe UI" w:cs="Segoe UI"/>
          <w:b/>
          <w:color w:val="0F243E" w:themeColor="text2" w:themeShade="80"/>
          <w:sz w:val="36"/>
        </w:rPr>
      </w:pPr>
    </w:p>
    <w:p w:rsidR="00FF1C97" w:rsidRDefault="00FF1C97" w:rsidP="00FF1C97">
      <w:pPr>
        <w:spacing w:after="0"/>
        <w:jc w:val="both"/>
        <w:rPr>
          <w:rFonts w:ascii="Segoe UI" w:hAnsi="Segoe UI" w:cs="Segoe UI"/>
          <w:b/>
          <w:color w:val="0F243E" w:themeColor="text2" w:themeShade="80"/>
          <w:sz w:val="36"/>
        </w:rPr>
      </w:pPr>
    </w:p>
    <w:p w:rsidR="00FF1C97" w:rsidRDefault="00FF1C97" w:rsidP="00FF1C97">
      <w:pPr>
        <w:spacing w:after="0"/>
        <w:jc w:val="both"/>
        <w:rPr>
          <w:rFonts w:ascii="Segoe UI" w:hAnsi="Segoe UI" w:cs="Segoe UI"/>
          <w:b/>
          <w:color w:val="0F243E" w:themeColor="text2" w:themeShade="80"/>
          <w:sz w:val="36"/>
        </w:rPr>
      </w:pPr>
    </w:p>
    <w:p w:rsidR="00FF1C97" w:rsidRDefault="00FF1C97" w:rsidP="00FF1C97">
      <w:pPr>
        <w:spacing w:after="0"/>
        <w:jc w:val="both"/>
        <w:rPr>
          <w:rFonts w:ascii="Segoe UI" w:hAnsi="Segoe UI" w:cs="Segoe UI"/>
          <w:b/>
          <w:color w:val="0F243E" w:themeColor="text2" w:themeShade="80"/>
          <w:sz w:val="36"/>
        </w:rPr>
      </w:pPr>
    </w:p>
    <w:p w:rsidR="00FF1C97" w:rsidRDefault="00FF1C97" w:rsidP="00FF1C97">
      <w:pPr>
        <w:spacing w:after="0"/>
        <w:jc w:val="both"/>
        <w:rPr>
          <w:rFonts w:ascii="Segoe UI" w:hAnsi="Segoe UI" w:cs="Segoe UI"/>
          <w:b/>
          <w:color w:val="0F243E" w:themeColor="text2" w:themeShade="80"/>
          <w:sz w:val="36"/>
        </w:rPr>
      </w:pPr>
    </w:p>
    <w:p w:rsidR="00FF1C97" w:rsidRPr="00CC3FD7" w:rsidRDefault="00FF1C97" w:rsidP="00FF1C97">
      <w:pPr>
        <w:spacing w:after="0"/>
        <w:jc w:val="both"/>
        <w:rPr>
          <w:rFonts w:ascii="Segoe UI" w:hAnsi="Segoe UI" w:cs="Segoe UI"/>
          <w:color w:val="0F243E" w:themeColor="text2" w:themeShade="80"/>
          <w:sz w:val="36"/>
        </w:rPr>
      </w:pPr>
    </w:p>
    <w:p w:rsidR="00E60B92" w:rsidRDefault="00E60B92" w:rsidP="00FF1C97">
      <w:pPr>
        <w:spacing w:after="0"/>
        <w:jc w:val="both"/>
        <w:rPr>
          <w:rFonts w:ascii="Segoe UI" w:hAnsi="Segoe UI" w:cs="Segoe UI"/>
          <w:b/>
          <w:color w:val="0F243E" w:themeColor="text2" w:themeShade="80"/>
          <w:sz w:val="36"/>
        </w:rPr>
      </w:pPr>
    </w:p>
    <w:p w:rsidR="00E60B92" w:rsidRDefault="00E60B92" w:rsidP="00FF1C97">
      <w:pPr>
        <w:spacing w:after="0"/>
        <w:jc w:val="both"/>
        <w:rPr>
          <w:rFonts w:ascii="Segoe UI" w:hAnsi="Segoe UI" w:cs="Segoe UI"/>
          <w:b/>
          <w:color w:val="0F243E" w:themeColor="text2" w:themeShade="80"/>
          <w:sz w:val="36"/>
        </w:rPr>
      </w:pPr>
    </w:p>
    <w:p w:rsidR="00716E8D" w:rsidRDefault="00716E8D" w:rsidP="00FF1C97">
      <w:pPr>
        <w:spacing w:after="0"/>
        <w:jc w:val="both"/>
        <w:rPr>
          <w:rFonts w:ascii="Segoe UI" w:hAnsi="Segoe UI" w:cs="Segoe UI"/>
          <w:b/>
          <w:color w:val="0F243E" w:themeColor="text2" w:themeShade="80"/>
          <w:sz w:val="36"/>
        </w:rPr>
      </w:pPr>
      <w:r w:rsidRPr="00D22EFE">
        <w:rPr>
          <w:rFonts w:ascii="Segoe UI" w:hAnsi="Segoe UI" w:cs="Segoe UI"/>
          <w:b/>
          <w:color w:val="0F243E" w:themeColor="text2" w:themeShade="80"/>
          <w:sz w:val="36"/>
        </w:rPr>
        <w:t>Presentación</w:t>
      </w:r>
    </w:p>
    <w:p w:rsidR="00FF1C97" w:rsidRPr="00D22EFE" w:rsidRDefault="00FF1C97" w:rsidP="00FF1C97">
      <w:pPr>
        <w:spacing w:after="0"/>
        <w:jc w:val="both"/>
        <w:rPr>
          <w:rFonts w:ascii="Segoe UI" w:hAnsi="Segoe UI" w:cs="Segoe UI"/>
          <w:b/>
        </w:rPr>
      </w:pPr>
    </w:p>
    <w:p w:rsidR="00716E8D" w:rsidRDefault="00716E8D" w:rsidP="00FF1C97">
      <w:pPr>
        <w:spacing w:after="0"/>
        <w:jc w:val="both"/>
        <w:rPr>
          <w:rFonts w:ascii="Segoe UI" w:hAnsi="Segoe UI" w:cs="Segoe UI"/>
        </w:rPr>
      </w:pPr>
    </w:p>
    <w:p w:rsidR="00E60B92" w:rsidRPr="00FF1C97" w:rsidRDefault="00E60B92" w:rsidP="00FF1C97">
      <w:pPr>
        <w:spacing w:after="0"/>
        <w:jc w:val="both"/>
        <w:rPr>
          <w:rFonts w:ascii="Segoe UI" w:hAnsi="Segoe UI" w:cs="Segoe UI"/>
        </w:rPr>
      </w:pPr>
    </w:p>
    <w:p w:rsidR="00716E8D" w:rsidRDefault="00E60B92" w:rsidP="00E60B92">
      <w:pPr>
        <w:spacing w:after="0" w:line="360" w:lineRule="auto"/>
        <w:jc w:val="both"/>
        <w:rPr>
          <w:rFonts w:ascii="Segoe UI" w:hAnsi="Segoe UI" w:cs="Segoe UI"/>
        </w:rPr>
      </w:pPr>
      <w:r>
        <w:rPr>
          <w:rFonts w:ascii="Segoe UI" w:hAnsi="Segoe UI" w:cs="Segoe UI"/>
        </w:rPr>
        <w:t>Este documento, c</w:t>
      </w:r>
      <w:r w:rsidR="00716E8D" w:rsidRPr="00FF1C97">
        <w:rPr>
          <w:rFonts w:ascii="Segoe UI" w:hAnsi="Segoe UI" w:cs="Segoe UI"/>
        </w:rPr>
        <w:t>on fundamento en el artícul</w:t>
      </w:r>
      <w:r w:rsidR="0027251B" w:rsidRPr="00FF1C97">
        <w:rPr>
          <w:rFonts w:ascii="Segoe UI" w:hAnsi="Segoe UI" w:cs="Segoe UI"/>
        </w:rPr>
        <w:t>o</w:t>
      </w:r>
      <w:r w:rsidR="00716E8D" w:rsidRPr="00FF1C97">
        <w:rPr>
          <w:rFonts w:ascii="Segoe UI" w:hAnsi="Segoe UI" w:cs="Segoe UI"/>
        </w:rPr>
        <w:t xml:space="preserve"> 2</w:t>
      </w:r>
      <w:r>
        <w:rPr>
          <w:rFonts w:ascii="Segoe UI" w:hAnsi="Segoe UI" w:cs="Segoe UI"/>
        </w:rPr>
        <w:t>6</w:t>
      </w:r>
      <w:r w:rsidR="00716E8D" w:rsidRPr="00FF1C97">
        <w:rPr>
          <w:rFonts w:ascii="Segoe UI" w:hAnsi="Segoe UI" w:cs="Segoe UI"/>
        </w:rPr>
        <w:t xml:space="preserve"> de la</w:t>
      </w:r>
      <w:r>
        <w:rPr>
          <w:rFonts w:ascii="Segoe UI" w:hAnsi="Segoe UI" w:cs="Segoe UI"/>
        </w:rPr>
        <w:t xml:space="preserve"> </w:t>
      </w:r>
      <w:r w:rsidR="00716E8D" w:rsidRPr="00FF1C97">
        <w:rPr>
          <w:rFonts w:ascii="Segoe UI" w:hAnsi="Segoe UI" w:cs="Segoe UI"/>
        </w:rPr>
        <w:t>Ley General de Archivos</w:t>
      </w:r>
      <w:r>
        <w:rPr>
          <w:rFonts w:ascii="Segoe UI" w:hAnsi="Segoe UI" w:cs="Segoe UI"/>
        </w:rPr>
        <w:t>,</w:t>
      </w:r>
      <w:r w:rsidR="00716E8D" w:rsidRPr="00FF1C97">
        <w:rPr>
          <w:rFonts w:ascii="Segoe UI" w:hAnsi="Segoe UI" w:cs="Segoe UI"/>
        </w:rPr>
        <w:t xml:space="preserve"> </w:t>
      </w:r>
      <w:r>
        <w:rPr>
          <w:rFonts w:ascii="Segoe UI" w:hAnsi="Segoe UI" w:cs="Segoe UI"/>
        </w:rPr>
        <w:t xml:space="preserve">constituye </w:t>
      </w:r>
      <w:r w:rsidR="00716E8D" w:rsidRPr="00FF1C97">
        <w:rPr>
          <w:rFonts w:ascii="Segoe UI" w:hAnsi="Segoe UI" w:cs="Segoe UI"/>
        </w:rPr>
        <w:t>el informe de</w:t>
      </w:r>
      <w:r w:rsidR="0027251B" w:rsidRPr="00FF1C97">
        <w:rPr>
          <w:rFonts w:ascii="Segoe UI" w:hAnsi="Segoe UI" w:cs="Segoe UI"/>
        </w:rPr>
        <w:t xml:space="preserve"> cumplimiento del </w:t>
      </w:r>
      <w:r w:rsidR="00716E8D" w:rsidRPr="00FF1C97">
        <w:rPr>
          <w:rFonts w:ascii="Segoe UI" w:hAnsi="Segoe UI" w:cs="Segoe UI"/>
        </w:rPr>
        <w:t>P</w:t>
      </w:r>
      <w:r w:rsidR="0027251B" w:rsidRPr="00FF1C97">
        <w:rPr>
          <w:rFonts w:ascii="Segoe UI" w:hAnsi="Segoe UI" w:cs="Segoe UI"/>
        </w:rPr>
        <w:t>rograma</w:t>
      </w:r>
      <w:r w:rsidR="00716E8D" w:rsidRPr="00FF1C97">
        <w:rPr>
          <w:rFonts w:ascii="Segoe UI" w:hAnsi="Segoe UI" w:cs="Segoe UI"/>
        </w:rPr>
        <w:t xml:space="preserve"> Anual de Desarrollo </w:t>
      </w:r>
      <w:r w:rsidR="0027251B" w:rsidRPr="00FF1C97">
        <w:rPr>
          <w:rFonts w:ascii="Segoe UI" w:hAnsi="Segoe UI" w:cs="Segoe UI"/>
        </w:rPr>
        <w:t xml:space="preserve">Archivístico </w:t>
      </w:r>
      <w:r>
        <w:rPr>
          <w:rFonts w:ascii="Segoe UI" w:hAnsi="Segoe UI" w:cs="Segoe UI"/>
        </w:rPr>
        <w:t>2020, en el que se implementaron</w:t>
      </w:r>
      <w:r w:rsidR="00716E8D" w:rsidRPr="00FF1C97">
        <w:rPr>
          <w:rFonts w:ascii="Segoe UI" w:hAnsi="Segoe UI" w:cs="Segoe UI"/>
        </w:rPr>
        <w:t xml:space="preserve"> una serie de pro</w:t>
      </w:r>
      <w:r>
        <w:rPr>
          <w:rFonts w:ascii="Segoe UI" w:hAnsi="Segoe UI" w:cs="Segoe UI"/>
        </w:rPr>
        <w:t>yectos encaminados a</w:t>
      </w:r>
      <w:r w:rsidRPr="00FF1C97">
        <w:rPr>
          <w:rFonts w:ascii="Segoe UI" w:hAnsi="Segoe UI" w:cs="Segoe UI"/>
        </w:rPr>
        <w:t xml:space="preserve">l mejoramiento </w:t>
      </w:r>
      <w:r>
        <w:rPr>
          <w:rFonts w:ascii="Segoe UI" w:hAnsi="Segoe UI" w:cs="Segoe UI"/>
        </w:rPr>
        <w:t>de los procesos archivísticos, a propiciar la integración d</w:t>
      </w:r>
      <w:r w:rsidR="00716E8D" w:rsidRPr="00FF1C97">
        <w:rPr>
          <w:rFonts w:ascii="Segoe UI" w:hAnsi="Segoe UI" w:cs="Segoe UI"/>
        </w:rPr>
        <w:t>el Sistema Institucional de Archivo</w:t>
      </w:r>
      <w:r>
        <w:rPr>
          <w:rFonts w:ascii="Segoe UI" w:hAnsi="Segoe UI" w:cs="Segoe UI"/>
        </w:rPr>
        <w:t>s del Tribunal</w:t>
      </w:r>
      <w:r w:rsidR="00716E8D" w:rsidRPr="00FF1C97">
        <w:rPr>
          <w:rFonts w:ascii="Segoe UI" w:hAnsi="Segoe UI" w:cs="Segoe UI"/>
        </w:rPr>
        <w:t>,</w:t>
      </w:r>
      <w:r>
        <w:rPr>
          <w:rFonts w:ascii="Segoe UI" w:hAnsi="Segoe UI" w:cs="Segoe UI"/>
        </w:rPr>
        <w:t xml:space="preserve"> a m</w:t>
      </w:r>
      <w:r w:rsidRPr="006979F3">
        <w:rPr>
          <w:rFonts w:cstheme="minorHAnsi"/>
          <w:sz w:val="24"/>
          <w:szCs w:val="24"/>
        </w:rPr>
        <w:t>antener el Archivo General en las condiciones ambientales y estructurales óptimas p</w:t>
      </w:r>
      <w:r>
        <w:rPr>
          <w:rFonts w:cstheme="minorHAnsi"/>
          <w:sz w:val="24"/>
          <w:szCs w:val="24"/>
        </w:rPr>
        <w:t>ara su correcto funcionamiento,</w:t>
      </w:r>
      <w:r>
        <w:rPr>
          <w:rFonts w:ascii="Segoe UI" w:hAnsi="Segoe UI" w:cs="Segoe UI"/>
        </w:rPr>
        <w:t xml:space="preserve"> así como a</w:t>
      </w:r>
      <w:r w:rsidR="00716E8D" w:rsidRPr="00FF1C97">
        <w:rPr>
          <w:rFonts w:ascii="Segoe UI" w:hAnsi="Segoe UI" w:cs="Segoe UI"/>
        </w:rPr>
        <w:t xml:space="preserve"> dar cumplimiento a las disposi</w:t>
      </w:r>
      <w:r>
        <w:rPr>
          <w:rFonts w:ascii="Segoe UI" w:hAnsi="Segoe UI" w:cs="Segoe UI"/>
        </w:rPr>
        <w:t xml:space="preserve">ciones normativas en la materia. </w:t>
      </w:r>
    </w:p>
    <w:p w:rsidR="00E60B92" w:rsidRDefault="00E60B92" w:rsidP="00FF1C97">
      <w:pPr>
        <w:spacing w:after="0"/>
        <w:jc w:val="both"/>
        <w:rPr>
          <w:rFonts w:ascii="Segoe UI" w:hAnsi="Segoe UI" w:cs="Segoe UI"/>
        </w:rPr>
      </w:pPr>
    </w:p>
    <w:p w:rsidR="00716E8D" w:rsidRDefault="00716E8D" w:rsidP="00FF1C97">
      <w:pPr>
        <w:spacing w:after="0"/>
        <w:jc w:val="both"/>
      </w:pPr>
    </w:p>
    <w:p w:rsidR="00D456AA" w:rsidRDefault="00D456AA" w:rsidP="00FF1C97">
      <w:pPr>
        <w:spacing w:after="0"/>
        <w:jc w:val="both"/>
        <w:sectPr w:rsidR="00D456AA" w:rsidSect="00E33A67">
          <w:headerReference w:type="default" r:id="rId9"/>
          <w:footerReference w:type="default" r:id="rId10"/>
          <w:pgSz w:w="12240" w:h="15840"/>
          <w:pgMar w:top="1417" w:right="1701" w:bottom="1417" w:left="1701" w:header="708" w:footer="708" w:gutter="0"/>
          <w:cols w:space="708"/>
          <w:docGrid w:linePitch="360"/>
        </w:sectPr>
      </w:pPr>
    </w:p>
    <w:p w:rsidR="00D456AA" w:rsidRDefault="00C54FDB" w:rsidP="00FF1C97">
      <w:pPr>
        <w:spacing w:after="0"/>
        <w:jc w:val="both"/>
        <w:rPr>
          <w:rFonts w:ascii="Segoe UI" w:hAnsi="Segoe UI" w:cs="Segoe UI"/>
          <w:b/>
          <w:color w:val="0F243E" w:themeColor="text2" w:themeShade="80"/>
          <w:sz w:val="36"/>
        </w:rPr>
      </w:pPr>
      <w:r>
        <w:rPr>
          <w:rFonts w:ascii="Segoe UI" w:hAnsi="Segoe UI" w:cs="Segoe UI"/>
          <w:b/>
          <w:color w:val="0F243E" w:themeColor="text2" w:themeShade="80"/>
          <w:sz w:val="36"/>
        </w:rPr>
        <w:lastRenderedPageBreak/>
        <w:t>Resultados</w:t>
      </w:r>
    </w:p>
    <w:p w:rsidR="00E60B92" w:rsidRDefault="00E60B92" w:rsidP="00E60B92">
      <w:pPr>
        <w:spacing w:after="0" w:line="360" w:lineRule="auto"/>
        <w:jc w:val="both"/>
        <w:rPr>
          <w:rFonts w:ascii="Segoe UI" w:hAnsi="Segoe UI" w:cs="Segoe UI"/>
        </w:rPr>
      </w:pPr>
    </w:p>
    <w:p w:rsidR="00E60B92" w:rsidRDefault="00E60B92" w:rsidP="00E60B92">
      <w:pPr>
        <w:spacing w:after="0" w:line="264" w:lineRule="auto"/>
        <w:jc w:val="both"/>
        <w:rPr>
          <w:rFonts w:ascii="Segoe UI" w:hAnsi="Segoe UI" w:cs="Segoe UI"/>
        </w:rPr>
      </w:pPr>
      <w:r>
        <w:rPr>
          <w:rFonts w:ascii="Segoe UI" w:hAnsi="Segoe UI" w:cs="Segoe UI"/>
        </w:rPr>
        <w:t>En el presente informe de cumplimiento, se han plasmado los resultados obtenidos en cada proyecto propuesto, no sin antes destacar los esfuerzos realizados para ello, en virtud de haber sido un año en el que la contingencia sanitaria y las medidas para mit</w:t>
      </w:r>
      <w:r w:rsidR="00724E66">
        <w:rPr>
          <w:rFonts w:ascii="Segoe UI" w:hAnsi="Segoe UI" w:cs="Segoe UI"/>
        </w:rPr>
        <w:t xml:space="preserve">igar la </w:t>
      </w:r>
      <w:r>
        <w:rPr>
          <w:rFonts w:ascii="Segoe UI" w:hAnsi="Segoe UI" w:cs="Segoe UI"/>
        </w:rPr>
        <w:t>propagación</w:t>
      </w:r>
      <w:r w:rsidR="00724E66">
        <w:rPr>
          <w:rFonts w:ascii="Segoe UI" w:hAnsi="Segoe UI" w:cs="Segoe UI"/>
        </w:rPr>
        <w:t xml:space="preserve"> del virus SARS-Cov2</w:t>
      </w:r>
      <w:r>
        <w:rPr>
          <w:rFonts w:ascii="Segoe UI" w:hAnsi="Segoe UI" w:cs="Segoe UI"/>
        </w:rPr>
        <w:t xml:space="preserve"> representaron un reto para ejecutar las actividades que en su mayoría deberían realizarse de manera presencial</w:t>
      </w:r>
      <w:r w:rsidR="00724E66">
        <w:rPr>
          <w:rFonts w:ascii="Segoe UI" w:hAnsi="Segoe UI" w:cs="Segoe UI"/>
        </w:rPr>
        <w:t>;</w:t>
      </w:r>
      <w:r>
        <w:rPr>
          <w:rFonts w:ascii="Segoe UI" w:hAnsi="Segoe UI" w:cs="Segoe UI"/>
        </w:rPr>
        <w:t xml:space="preserve"> lo anterior, nos orilló a ser </w:t>
      </w:r>
      <w:proofErr w:type="spellStart"/>
      <w:r>
        <w:rPr>
          <w:rFonts w:ascii="Segoe UI" w:hAnsi="Segoe UI" w:cs="Segoe UI"/>
        </w:rPr>
        <w:t>resilientes</w:t>
      </w:r>
      <w:proofErr w:type="spellEnd"/>
      <w:r>
        <w:rPr>
          <w:rFonts w:ascii="Segoe UI" w:hAnsi="Segoe UI" w:cs="Segoe UI"/>
        </w:rPr>
        <w:t xml:space="preserve"> y adaptarnos a estas extraordinarias circunstancias haciendo uso de la</w:t>
      </w:r>
      <w:r w:rsidR="00724E66">
        <w:rPr>
          <w:rFonts w:ascii="Segoe UI" w:hAnsi="Segoe UI" w:cs="Segoe UI"/>
        </w:rPr>
        <w:t>s</w:t>
      </w:r>
      <w:r>
        <w:rPr>
          <w:rFonts w:ascii="Segoe UI" w:hAnsi="Segoe UI" w:cs="Segoe UI"/>
        </w:rPr>
        <w:t xml:space="preserve"> tecnología</w:t>
      </w:r>
      <w:r w:rsidR="00724E66">
        <w:rPr>
          <w:rFonts w:ascii="Segoe UI" w:hAnsi="Segoe UI" w:cs="Segoe UI"/>
        </w:rPr>
        <w:t>s de la información y comunicación</w:t>
      </w:r>
      <w:r>
        <w:rPr>
          <w:rFonts w:ascii="Segoe UI" w:hAnsi="Segoe UI" w:cs="Segoe UI"/>
        </w:rPr>
        <w:t xml:space="preserve">. Además, es importante reconocer que esto no hubiera sido posible sin </w:t>
      </w:r>
      <w:r w:rsidRPr="00FF1C97">
        <w:rPr>
          <w:rFonts w:ascii="Segoe UI" w:hAnsi="Segoe UI" w:cs="Segoe UI"/>
        </w:rPr>
        <w:t xml:space="preserve">la </w:t>
      </w:r>
      <w:r>
        <w:rPr>
          <w:rFonts w:ascii="Segoe UI" w:hAnsi="Segoe UI" w:cs="Segoe UI"/>
        </w:rPr>
        <w:t>participación complementaria del Consejo Administrativo, l</w:t>
      </w:r>
      <w:r w:rsidRPr="00FF1C97">
        <w:rPr>
          <w:rFonts w:ascii="Segoe UI" w:hAnsi="Segoe UI" w:cs="Segoe UI"/>
        </w:rPr>
        <w:t>os Titulares</w:t>
      </w:r>
      <w:r>
        <w:rPr>
          <w:rFonts w:ascii="Segoe UI" w:hAnsi="Segoe UI" w:cs="Segoe UI"/>
        </w:rPr>
        <w:t xml:space="preserve"> de las Unidades Administrativas, los responsables de los archivos de trámite y la r</w:t>
      </w:r>
      <w:r w:rsidRPr="00FF1C97">
        <w:rPr>
          <w:rFonts w:ascii="Segoe UI" w:hAnsi="Segoe UI" w:cs="Segoe UI"/>
        </w:rPr>
        <w:t xml:space="preserve">ed de </w:t>
      </w:r>
      <w:r>
        <w:rPr>
          <w:rFonts w:ascii="Segoe UI" w:hAnsi="Segoe UI" w:cs="Segoe UI"/>
        </w:rPr>
        <w:t xml:space="preserve">enlaces del Archivo General. </w:t>
      </w:r>
    </w:p>
    <w:p w:rsidR="00E60B92" w:rsidRDefault="00E60B92" w:rsidP="00E60B92">
      <w:pPr>
        <w:spacing w:after="0" w:line="240" w:lineRule="auto"/>
        <w:jc w:val="both"/>
        <w:rPr>
          <w:rFonts w:ascii="Segoe UI" w:hAnsi="Segoe UI" w:cs="Segoe UI"/>
        </w:rPr>
      </w:pPr>
    </w:p>
    <w:p w:rsidR="00E60B92" w:rsidRDefault="00E60B92" w:rsidP="00E60B92">
      <w:pPr>
        <w:spacing w:after="0" w:line="240" w:lineRule="auto"/>
        <w:jc w:val="both"/>
        <w:rPr>
          <w:rFonts w:ascii="Segoe UI" w:hAnsi="Segoe UI" w:cs="Segoe UI"/>
        </w:rPr>
      </w:pPr>
      <w:r>
        <w:rPr>
          <w:rFonts w:ascii="Segoe UI" w:hAnsi="Segoe UI" w:cs="Segoe UI"/>
        </w:rPr>
        <w:t xml:space="preserve">Así pues, a continuación se presentan los logros obtenidos: </w:t>
      </w:r>
    </w:p>
    <w:p w:rsidR="00E60B92" w:rsidRDefault="00E60B92" w:rsidP="00E60B92">
      <w:pPr>
        <w:spacing w:after="0" w:line="240" w:lineRule="auto"/>
        <w:jc w:val="both"/>
      </w:pPr>
    </w:p>
    <w:p w:rsidR="00FF1C97" w:rsidRDefault="00FF1C97" w:rsidP="00FF1C97">
      <w:pPr>
        <w:spacing w:after="0"/>
        <w:jc w:val="both"/>
      </w:pPr>
    </w:p>
    <w:tbl>
      <w:tblPr>
        <w:tblStyle w:val="Tablaconcuadrcula"/>
        <w:tblW w:w="0" w:type="auto"/>
        <w:tblLook w:val="04A0" w:firstRow="1" w:lastRow="0" w:firstColumn="1" w:lastColumn="0" w:noHBand="0" w:noVBand="1"/>
      </w:tblPr>
      <w:tblGrid>
        <w:gridCol w:w="2191"/>
        <w:gridCol w:w="3020"/>
        <w:gridCol w:w="2261"/>
        <w:gridCol w:w="1292"/>
        <w:gridCol w:w="1409"/>
        <w:gridCol w:w="2973"/>
      </w:tblGrid>
      <w:tr w:rsidR="00E60B92" w:rsidRPr="007B0BAF" w:rsidTr="00E60B92">
        <w:trPr>
          <w:tblHeader/>
        </w:trPr>
        <w:tc>
          <w:tcPr>
            <w:tcW w:w="2191" w:type="dxa"/>
            <w:shd w:val="clear" w:color="auto" w:fill="0F243E" w:themeFill="text2" w:themeFillShade="80"/>
            <w:vAlign w:val="center"/>
          </w:tcPr>
          <w:p w:rsidR="00F069C6" w:rsidRPr="007B0BAF" w:rsidRDefault="00F069C6" w:rsidP="00FF1C97">
            <w:pPr>
              <w:jc w:val="center"/>
              <w:rPr>
                <w:rFonts w:cstheme="minorHAnsi"/>
                <w:b/>
                <w:sz w:val="24"/>
              </w:rPr>
            </w:pPr>
            <w:r>
              <w:rPr>
                <w:rFonts w:cstheme="minorHAnsi"/>
                <w:b/>
                <w:sz w:val="24"/>
              </w:rPr>
              <w:t>Proyecto</w:t>
            </w:r>
          </w:p>
        </w:tc>
        <w:tc>
          <w:tcPr>
            <w:tcW w:w="3020" w:type="dxa"/>
            <w:shd w:val="clear" w:color="auto" w:fill="0F243E" w:themeFill="text2" w:themeFillShade="80"/>
            <w:vAlign w:val="center"/>
          </w:tcPr>
          <w:p w:rsidR="00F069C6" w:rsidRPr="007B0BAF" w:rsidRDefault="00F069C6" w:rsidP="00E33A67">
            <w:pPr>
              <w:jc w:val="center"/>
              <w:rPr>
                <w:rFonts w:cstheme="minorHAnsi"/>
                <w:b/>
                <w:sz w:val="24"/>
              </w:rPr>
            </w:pPr>
            <w:r w:rsidRPr="007B0BAF">
              <w:rPr>
                <w:rFonts w:cstheme="minorHAnsi"/>
                <w:b/>
                <w:sz w:val="24"/>
              </w:rPr>
              <w:t>Objetivo específico</w:t>
            </w:r>
          </w:p>
        </w:tc>
        <w:tc>
          <w:tcPr>
            <w:tcW w:w="2261" w:type="dxa"/>
            <w:shd w:val="clear" w:color="auto" w:fill="0F243E" w:themeFill="text2" w:themeFillShade="80"/>
            <w:vAlign w:val="center"/>
          </w:tcPr>
          <w:p w:rsidR="00F069C6" w:rsidRPr="007B0BAF" w:rsidRDefault="00F069C6" w:rsidP="00FF1C97">
            <w:pPr>
              <w:jc w:val="center"/>
              <w:rPr>
                <w:rFonts w:cstheme="minorHAnsi"/>
                <w:b/>
                <w:sz w:val="24"/>
              </w:rPr>
            </w:pPr>
            <w:r w:rsidRPr="007B0BAF">
              <w:rPr>
                <w:rFonts w:cstheme="minorHAnsi"/>
                <w:b/>
                <w:sz w:val="24"/>
              </w:rPr>
              <w:t>Entregable</w:t>
            </w:r>
          </w:p>
        </w:tc>
        <w:tc>
          <w:tcPr>
            <w:tcW w:w="1292" w:type="dxa"/>
            <w:shd w:val="clear" w:color="auto" w:fill="0F243E" w:themeFill="text2" w:themeFillShade="80"/>
            <w:vAlign w:val="center"/>
          </w:tcPr>
          <w:p w:rsidR="00F069C6" w:rsidRPr="007B0BAF" w:rsidRDefault="00F069C6" w:rsidP="00FF1C97">
            <w:pPr>
              <w:jc w:val="center"/>
              <w:rPr>
                <w:rFonts w:cstheme="minorHAnsi"/>
                <w:b/>
                <w:sz w:val="24"/>
              </w:rPr>
            </w:pPr>
            <w:r w:rsidRPr="007B0BAF">
              <w:rPr>
                <w:rFonts w:cstheme="minorHAnsi"/>
                <w:b/>
                <w:sz w:val="24"/>
              </w:rPr>
              <w:t>Porcentaje de avance</w:t>
            </w:r>
          </w:p>
        </w:tc>
        <w:tc>
          <w:tcPr>
            <w:tcW w:w="1409" w:type="dxa"/>
            <w:shd w:val="clear" w:color="auto" w:fill="0F243E" w:themeFill="text2" w:themeFillShade="80"/>
            <w:vAlign w:val="center"/>
          </w:tcPr>
          <w:p w:rsidR="00F069C6" w:rsidRPr="007B0BAF" w:rsidRDefault="00F069C6" w:rsidP="007B0BAF">
            <w:pPr>
              <w:jc w:val="center"/>
              <w:rPr>
                <w:rFonts w:cstheme="minorHAnsi"/>
                <w:b/>
                <w:sz w:val="24"/>
              </w:rPr>
            </w:pPr>
            <w:r w:rsidRPr="007B0BAF">
              <w:rPr>
                <w:rFonts w:cstheme="minorHAnsi"/>
                <w:b/>
                <w:sz w:val="24"/>
              </w:rPr>
              <w:t>Evidencia</w:t>
            </w:r>
          </w:p>
        </w:tc>
        <w:tc>
          <w:tcPr>
            <w:tcW w:w="2973" w:type="dxa"/>
            <w:shd w:val="clear" w:color="auto" w:fill="0F243E" w:themeFill="text2" w:themeFillShade="80"/>
            <w:vAlign w:val="center"/>
          </w:tcPr>
          <w:p w:rsidR="00F069C6" w:rsidRPr="007B0BAF" w:rsidRDefault="00F069C6" w:rsidP="00FF1C97">
            <w:pPr>
              <w:jc w:val="center"/>
              <w:rPr>
                <w:rFonts w:cstheme="minorHAnsi"/>
                <w:b/>
                <w:sz w:val="24"/>
              </w:rPr>
            </w:pPr>
            <w:r w:rsidRPr="007B0BAF">
              <w:rPr>
                <w:rFonts w:cstheme="minorHAnsi"/>
                <w:b/>
                <w:sz w:val="24"/>
              </w:rPr>
              <w:t>Observaciones</w:t>
            </w:r>
          </w:p>
        </w:tc>
      </w:tr>
      <w:tr w:rsidR="00E60B92" w:rsidTr="00E60B92">
        <w:tc>
          <w:tcPr>
            <w:tcW w:w="2191" w:type="dxa"/>
            <w:vMerge w:val="restart"/>
            <w:vAlign w:val="center"/>
          </w:tcPr>
          <w:p w:rsidR="00E60B92" w:rsidRDefault="00E60B92" w:rsidP="00F069C6">
            <w:pPr>
              <w:spacing w:line="276" w:lineRule="auto"/>
              <w:jc w:val="center"/>
              <w:rPr>
                <w:rFonts w:cstheme="minorHAnsi"/>
                <w:szCs w:val="24"/>
              </w:rPr>
            </w:pPr>
            <w:r>
              <w:rPr>
                <w:rFonts w:cstheme="minorHAnsi"/>
                <w:szCs w:val="24"/>
              </w:rPr>
              <w:t>Primera etapa del</w:t>
            </w:r>
          </w:p>
          <w:p w:rsidR="00E60B92" w:rsidRPr="00E60B92" w:rsidRDefault="00F069C6" w:rsidP="00E60B92">
            <w:pPr>
              <w:spacing w:line="276" w:lineRule="auto"/>
              <w:jc w:val="center"/>
              <w:rPr>
                <w:rFonts w:cstheme="minorHAnsi"/>
                <w:szCs w:val="24"/>
              </w:rPr>
            </w:pPr>
            <w:r w:rsidRPr="00F069C6">
              <w:rPr>
                <w:rFonts w:cstheme="minorHAnsi"/>
                <w:szCs w:val="24"/>
              </w:rPr>
              <w:t>Proyecto de Organización del Acervo Documental de la Dirección Administrativa</w:t>
            </w:r>
          </w:p>
        </w:tc>
        <w:tc>
          <w:tcPr>
            <w:tcW w:w="3020" w:type="dxa"/>
            <w:vAlign w:val="center"/>
          </w:tcPr>
          <w:p w:rsidR="00F069C6" w:rsidRPr="00250A95" w:rsidRDefault="00F069C6" w:rsidP="00E33A67">
            <w:pPr>
              <w:spacing w:line="276" w:lineRule="auto"/>
              <w:jc w:val="both"/>
              <w:rPr>
                <w:rFonts w:cstheme="minorHAnsi"/>
                <w:b/>
              </w:rPr>
            </w:pPr>
            <w:r w:rsidRPr="00250A95">
              <w:rPr>
                <w:rFonts w:cstheme="minorHAnsi"/>
                <w:szCs w:val="24"/>
              </w:rPr>
              <w:t>Asesorar a la Dirección Administrativa respecto a los requisitos para realizar las transferencias primarias.</w:t>
            </w:r>
          </w:p>
        </w:tc>
        <w:tc>
          <w:tcPr>
            <w:tcW w:w="2261" w:type="dxa"/>
            <w:vAlign w:val="center"/>
          </w:tcPr>
          <w:p w:rsidR="00F069C6" w:rsidRPr="00F069C6" w:rsidRDefault="00F069C6" w:rsidP="00F069C6">
            <w:pPr>
              <w:spacing w:line="276" w:lineRule="auto"/>
              <w:jc w:val="center"/>
              <w:rPr>
                <w:rFonts w:cstheme="minorHAnsi"/>
                <w:sz w:val="20"/>
              </w:rPr>
            </w:pPr>
            <w:r w:rsidRPr="00F069C6">
              <w:rPr>
                <w:rFonts w:cstheme="minorHAnsi"/>
                <w:sz w:val="20"/>
                <w:szCs w:val="24"/>
              </w:rPr>
              <w:t>Inventario general de los expedientes que ingresan al Archivo de Concentración mediante transferencia primaria.</w:t>
            </w:r>
          </w:p>
        </w:tc>
        <w:tc>
          <w:tcPr>
            <w:tcW w:w="1292" w:type="dxa"/>
            <w:vAlign w:val="center"/>
          </w:tcPr>
          <w:p w:rsidR="00F069C6" w:rsidRDefault="00F069C6" w:rsidP="00F069C6">
            <w:pPr>
              <w:spacing w:line="276" w:lineRule="auto"/>
              <w:jc w:val="center"/>
              <w:rPr>
                <w:rFonts w:cstheme="minorHAnsi"/>
              </w:rPr>
            </w:pPr>
            <w:r>
              <w:rPr>
                <w:rFonts w:cstheme="minorHAnsi"/>
              </w:rPr>
              <w:t>100%</w:t>
            </w:r>
          </w:p>
        </w:tc>
        <w:tc>
          <w:tcPr>
            <w:tcW w:w="1409" w:type="dxa"/>
            <w:vAlign w:val="center"/>
          </w:tcPr>
          <w:p w:rsidR="00F069C6" w:rsidRPr="00250A95" w:rsidRDefault="00F069C6" w:rsidP="007B0BAF">
            <w:pPr>
              <w:spacing w:line="276" w:lineRule="auto"/>
              <w:jc w:val="center"/>
              <w:rPr>
                <w:rFonts w:cstheme="minorHAnsi"/>
              </w:rPr>
            </w:pPr>
            <w:r>
              <w:rPr>
                <w:rFonts w:cstheme="minorHAnsi"/>
              </w:rPr>
              <w:t>Anexo 1</w:t>
            </w:r>
          </w:p>
        </w:tc>
        <w:tc>
          <w:tcPr>
            <w:tcW w:w="2973" w:type="dxa"/>
          </w:tcPr>
          <w:p w:rsidR="00F069C6" w:rsidRDefault="00F069C6" w:rsidP="00FF1C97">
            <w:pPr>
              <w:jc w:val="both"/>
            </w:pPr>
          </w:p>
        </w:tc>
      </w:tr>
      <w:tr w:rsidR="00E60B92" w:rsidTr="004404E7">
        <w:tc>
          <w:tcPr>
            <w:tcW w:w="2191" w:type="dxa"/>
            <w:vMerge/>
            <w:vAlign w:val="center"/>
          </w:tcPr>
          <w:p w:rsidR="00E60B92" w:rsidRPr="00250A95" w:rsidRDefault="00E60B92" w:rsidP="00FF1C97">
            <w:pPr>
              <w:spacing w:line="276" w:lineRule="auto"/>
              <w:jc w:val="both"/>
              <w:rPr>
                <w:rFonts w:cstheme="minorHAnsi"/>
                <w:b/>
              </w:rPr>
            </w:pPr>
          </w:p>
        </w:tc>
        <w:tc>
          <w:tcPr>
            <w:tcW w:w="3020" w:type="dxa"/>
            <w:vAlign w:val="center"/>
          </w:tcPr>
          <w:p w:rsidR="00E60B92" w:rsidRPr="00250A95" w:rsidRDefault="00E60B92" w:rsidP="00E33A67">
            <w:pPr>
              <w:spacing w:line="276" w:lineRule="auto"/>
              <w:jc w:val="both"/>
              <w:rPr>
                <w:rFonts w:cstheme="minorHAnsi"/>
                <w:b/>
              </w:rPr>
            </w:pPr>
            <w:r w:rsidRPr="00250A95">
              <w:rPr>
                <w:rFonts w:cstheme="minorHAnsi"/>
                <w:szCs w:val="24"/>
              </w:rPr>
              <w:t>Organizar el acervo documental de la Dirección Administrativa para mejorar las condiciones de su resguardo dentro del Archivo de Concentración.</w:t>
            </w:r>
          </w:p>
        </w:tc>
        <w:tc>
          <w:tcPr>
            <w:tcW w:w="2261" w:type="dxa"/>
            <w:vAlign w:val="center"/>
          </w:tcPr>
          <w:p w:rsidR="00E60B92" w:rsidRPr="00250A95" w:rsidRDefault="00E60B92" w:rsidP="00E60B92">
            <w:pPr>
              <w:spacing w:line="276" w:lineRule="auto"/>
              <w:jc w:val="center"/>
              <w:rPr>
                <w:rFonts w:cstheme="minorHAnsi"/>
              </w:rPr>
            </w:pPr>
            <w:r w:rsidRPr="00250A95">
              <w:rPr>
                <w:rFonts w:cstheme="minorHAnsi"/>
                <w:szCs w:val="24"/>
              </w:rPr>
              <w:t>Inventario general del acervo documental de la Dirección Administrativa.</w:t>
            </w:r>
          </w:p>
        </w:tc>
        <w:tc>
          <w:tcPr>
            <w:tcW w:w="1292" w:type="dxa"/>
            <w:vAlign w:val="center"/>
          </w:tcPr>
          <w:p w:rsidR="00E60B92" w:rsidRDefault="00E60B92" w:rsidP="00E60B92">
            <w:pPr>
              <w:spacing w:line="276" w:lineRule="auto"/>
              <w:jc w:val="center"/>
              <w:rPr>
                <w:rFonts w:cstheme="minorHAnsi"/>
              </w:rPr>
            </w:pPr>
            <w:r w:rsidRPr="00E60B92">
              <w:rPr>
                <w:rFonts w:cstheme="minorHAnsi"/>
              </w:rPr>
              <w:t>100%</w:t>
            </w:r>
          </w:p>
        </w:tc>
        <w:tc>
          <w:tcPr>
            <w:tcW w:w="1409" w:type="dxa"/>
            <w:vAlign w:val="center"/>
          </w:tcPr>
          <w:p w:rsidR="00E60B92" w:rsidRPr="00250A95" w:rsidRDefault="00E60B92" w:rsidP="007B0BAF">
            <w:pPr>
              <w:spacing w:line="276" w:lineRule="auto"/>
              <w:jc w:val="center"/>
              <w:rPr>
                <w:rFonts w:cstheme="minorHAnsi"/>
              </w:rPr>
            </w:pPr>
            <w:r>
              <w:rPr>
                <w:rFonts w:cstheme="minorHAnsi"/>
              </w:rPr>
              <w:t>Anexo 2</w:t>
            </w:r>
          </w:p>
        </w:tc>
        <w:tc>
          <w:tcPr>
            <w:tcW w:w="2973" w:type="dxa"/>
            <w:vAlign w:val="center"/>
          </w:tcPr>
          <w:p w:rsidR="00E60B92" w:rsidRDefault="00E60B92" w:rsidP="00E60B92">
            <w:pPr>
              <w:jc w:val="center"/>
            </w:pPr>
          </w:p>
        </w:tc>
      </w:tr>
      <w:tr w:rsidR="00E60B92" w:rsidTr="00A602CD">
        <w:tc>
          <w:tcPr>
            <w:tcW w:w="2191" w:type="dxa"/>
            <w:vAlign w:val="center"/>
          </w:tcPr>
          <w:p w:rsidR="00E60B92" w:rsidRPr="00F069C6" w:rsidRDefault="00E60B92" w:rsidP="00F069C6">
            <w:pPr>
              <w:spacing w:line="276" w:lineRule="auto"/>
              <w:jc w:val="center"/>
              <w:rPr>
                <w:rFonts w:cstheme="minorHAnsi"/>
                <w:b/>
              </w:rPr>
            </w:pPr>
            <w:r w:rsidRPr="00F069C6">
              <w:rPr>
                <w:rFonts w:cstheme="minorHAnsi"/>
                <w:szCs w:val="24"/>
              </w:rPr>
              <w:lastRenderedPageBreak/>
              <w:t>Proyecto de Organización del Acervo Fotográfico del Tribunal</w:t>
            </w:r>
          </w:p>
        </w:tc>
        <w:tc>
          <w:tcPr>
            <w:tcW w:w="3020" w:type="dxa"/>
            <w:vAlign w:val="center"/>
          </w:tcPr>
          <w:p w:rsidR="00E60B92" w:rsidRPr="00250A95" w:rsidRDefault="00E60B92" w:rsidP="00E33A67">
            <w:pPr>
              <w:spacing w:line="276" w:lineRule="auto"/>
              <w:jc w:val="both"/>
              <w:rPr>
                <w:rFonts w:cstheme="minorHAnsi"/>
                <w:b/>
              </w:rPr>
            </w:pPr>
            <w:r w:rsidRPr="00250A95">
              <w:rPr>
                <w:rFonts w:cstheme="minorHAnsi"/>
                <w:szCs w:val="24"/>
              </w:rPr>
              <w:t>Realizar la organización del acervo fotográfico que comprende un total de 1062 imágenes en positivo y 10 tiras de negativos, implementando las tareas de ordenación, conservación, descripción y difusión de las imágenes producidas por el Tribunal.</w:t>
            </w:r>
          </w:p>
        </w:tc>
        <w:tc>
          <w:tcPr>
            <w:tcW w:w="2261" w:type="dxa"/>
            <w:vAlign w:val="center"/>
          </w:tcPr>
          <w:p w:rsidR="00E60B92" w:rsidRPr="00250A95" w:rsidRDefault="00E60B92" w:rsidP="00F069C6">
            <w:pPr>
              <w:spacing w:line="276" w:lineRule="auto"/>
              <w:jc w:val="center"/>
              <w:rPr>
                <w:rFonts w:cstheme="minorHAnsi"/>
              </w:rPr>
            </w:pPr>
            <w:r w:rsidRPr="00250A95">
              <w:rPr>
                <w:rFonts w:cstheme="minorHAnsi"/>
                <w:szCs w:val="24"/>
              </w:rPr>
              <w:t>Catálogo de la colección de documentos fotográficos relativos a las diferentes actividades desarrolladas en el Tribunal.</w:t>
            </w:r>
          </w:p>
        </w:tc>
        <w:tc>
          <w:tcPr>
            <w:tcW w:w="1292" w:type="dxa"/>
            <w:vAlign w:val="center"/>
          </w:tcPr>
          <w:p w:rsidR="00E60B92" w:rsidRDefault="00E60B92" w:rsidP="00E60B92">
            <w:pPr>
              <w:spacing w:line="276" w:lineRule="auto"/>
              <w:jc w:val="center"/>
              <w:rPr>
                <w:rFonts w:cstheme="minorHAnsi"/>
              </w:rPr>
            </w:pPr>
            <w:r w:rsidRPr="006917CC">
              <w:rPr>
                <w:rFonts w:cstheme="minorHAnsi"/>
              </w:rPr>
              <w:t>40%</w:t>
            </w:r>
          </w:p>
        </w:tc>
        <w:tc>
          <w:tcPr>
            <w:tcW w:w="1409" w:type="dxa"/>
            <w:vAlign w:val="center"/>
          </w:tcPr>
          <w:p w:rsidR="00E60B92" w:rsidRPr="00250A95" w:rsidRDefault="00E60B92" w:rsidP="007B0BAF">
            <w:pPr>
              <w:spacing w:line="276" w:lineRule="auto"/>
              <w:jc w:val="center"/>
              <w:rPr>
                <w:rFonts w:cstheme="minorHAnsi"/>
              </w:rPr>
            </w:pPr>
            <w:r>
              <w:rPr>
                <w:rFonts w:cstheme="minorHAnsi"/>
              </w:rPr>
              <w:t>Anexo 3</w:t>
            </w:r>
          </w:p>
        </w:tc>
        <w:tc>
          <w:tcPr>
            <w:tcW w:w="2973" w:type="dxa"/>
            <w:vAlign w:val="center"/>
          </w:tcPr>
          <w:p w:rsidR="00E60B92" w:rsidRDefault="00E60B92" w:rsidP="00A42265">
            <w:pPr>
              <w:jc w:val="center"/>
            </w:pPr>
            <w:r>
              <w:t>Será concluido en 2021.</w:t>
            </w:r>
          </w:p>
          <w:p w:rsidR="00E60B92" w:rsidRDefault="00E60B92" w:rsidP="00A42265">
            <w:pPr>
              <w:jc w:val="center"/>
            </w:pPr>
            <w:r>
              <w:t>Ver justificación.</w:t>
            </w:r>
          </w:p>
        </w:tc>
      </w:tr>
      <w:tr w:rsidR="00E60B92" w:rsidTr="00E60B92">
        <w:tc>
          <w:tcPr>
            <w:tcW w:w="2191" w:type="dxa"/>
            <w:vMerge w:val="restart"/>
            <w:vAlign w:val="center"/>
          </w:tcPr>
          <w:p w:rsidR="00E60B92" w:rsidRPr="00250A95" w:rsidRDefault="00E60B92" w:rsidP="00F069C6">
            <w:pPr>
              <w:spacing w:line="276" w:lineRule="auto"/>
              <w:jc w:val="center"/>
              <w:rPr>
                <w:rFonts w:cstheme="minorHAnsi"/>
                <w:b/>
              </w:rPr>
            </w:pPr>
            <w:r w:rsidRPr="00F069C6">
              <w:rPr>
                <w:rFonts w:cstheme="minorHAnsi"/>
                <w:szCs w:val="24"/>
              </w:rPr>
              <w:t>Proyecto de Elaboración y Actualización de los Instrumentos de Control y Consulta Archivística y la Guía de Archivo</w:t>
            </w:r>
          </w:p>
        </w:tc>
        <w:tc>
          <w:tcPr>
            <w:tcW w:w="3020" w:type="dxa"/>
            <w:vMerge w:val="restart"/>
            <w:vAlign w:val="center"/>
          </w:tcPr>
          <w:p w:rsidR="00E60B92" w:rsidRPr="00250A95" w:rsidRDefault="00E60B92" w:rsidP="00E33A67">
            <w:pPr>
              <w:spacing w:line="276" w:lineRule="auto"/>
              <w:jc w:val="both"/>
              <w:rPr>
                <w:rFonts w:cstheme="minorHAnsi"/>
                <w:b/>
              </w:rPr>
            </w:pPr>
            <w:r w:rsidRPr="00250A95">
              <w:rPr>
                <w:rFonts w:cstheme="minorHAnsi"/>
                <w:szCs w:val="24"/>
              </w:rPr>
              <w:t>Elaborar y actualizar los instrumentos de control y consulta archivística.</w:t>
            </w:r>
          </w:p>
        </w:tc>
        <w:tc>
          <w:tcPr>
            <w:tcW w:w="2261" w:type="dxa"/>
            <w:vAlign w:val="center"/>
          </w:tcPr>
          <w:p w:rsidR="00E60B92" w:rsidRPr="00250A95" w:rsidRDefault="00E60B92" w:rsidP="00AB0D82">
            <w:pPr>
              <w:spacing w:line="276" w:lineRule="auto"/>
              <w:contextualSpacing/>
              <w:jc w:val="center"/>
              <w:rPr>
                <w:rFonts w:cstheme="minorHAnsi"/>
              </w:rPr>
            </w:pPr>
            <w:r w:rsidRPr="00250A95">
              <w:rPr>
                <w:rFonts w:cstheme="minorHAnsi"/>
                <w:szCs w:val="24"/>
              </w:rPr>
              <w:t>Cuadro General de Clasificación Archivística.</w:t>
            </w:r>
          </w:p>
        </w:tc>
        <w:tc>
          <w:tcPr>
            <w:tcW w:w="1292" w:type="dxa"/>
            <w:vAlign w:val="center"/>
          </w:tcPr>
          <w:p w:rsidR="00E60B92" w:rsidRDefault="00E60B92" w:rsidP="00E60B92">
            <w:pPr>
              <w:spacing w:line="276" w:lineRule="auto"/>
              <w:jc w:val="center"/>
              <w:rPr>
                <w:rFonts w:cstheme="minorHAnsi"/>
              </w:rPr>
            </w:pPr>
            <w:r>
              <w:rPr>
                <w:rFonts w:cstheme="minorHAnsi"/>
              </w:rPr>
              <w:t>90%</w:t>
            </w:r>
          </w:p>
        </w:tc>
        <w:tc>
          <w:tcPr>
            <w:tcW w:w="1409" w:type="dxa"/>
            <w:vAlign w:val="center"/>
          </w:tcPr>
          <w:p w:rsidR="00E60B92" w:rsidRPr="00250A95" w:rsidRDefault="00E60B92" w:rsidP="007B0BAF">
            <w:pPr>
              <w:spacing w:line="276" w:lineRule="auto"/>
              <w:jc w:val="center"/>
              <w:rPr>
                <w:rFonts w:cstheme="minorHAnsi"/>
              </w:rPr>
            </w:pPr>
            <w:r>
              <w:rPr>
                <w:rFonts w:cstheme="minorHAnsi"/>
              </w:rPr>
              <w:t>Anexo 4</w:t>
            </w:r>
          </w:p>
        </w:tc>
        <w:tc>
          <w:tcPr>
            <w:tcW w:w="2973" w:type="dxa"/>
            <w:vMerge w:val="restart"/>
            <w:vAlign w:val="center"/>
          </w:tcPr>
          <w:p w:rsidR="00E60B92" w:rsidRDefault="00E60B92" w:rsidP="00E60B92">
            <w:pPr>
              <w:jc w:val="center"/>
            </w:pPr>
            <w:r>
              <w:t>Serán concluidos en 2021.</w:t>
            </w:r>
          </w:p>
          <w:p w:rsidR="00E60B92" w:rsidRDefault="00E60B92" w:rsidP="00E60B92">
            <w:pPr>
              <w:jc w:val="center"/>
            </w:pPr>
            <w:r>
              <w:t>Ver justificación.</w:t>
            </w:r>
          </w:p>
        </w:tc>
      </w:tr>
      <w:tr w:rsidR="00E60B92" w:rsidTr="00E60B92">
        <w:tc>
          <w:tcPr>
            <w:tcW w:w="2191" w:type="dxa"/>
            <w:vMerge/>
            <w:vAlign w:val="center"/>
          </w:tcPr>
          <w:p w:rsidR="00E60B92" w:rsidRPr="00250A95" w:rsidRDefault="00E60B92" w:rsidP="00FF1C97">
            <w:pPr>
              <w:spacing w:line="276" w:lineRule="auto"/>
              <w:jc w:val="both"/>
              <w:rPr>
                <w:rFonts w:cstheme="minorHAnsi"/>
                <w:b/>
              </w:rPr>
            </w:pPr>
          </w:p>
        </w:tc>
        <w:tc>
          <w:tcPr>
            <w:tcW w:w="3020" w:type="dxa"/>
            <w:vMerge/>
            <w:vAlign w:val="center"/>
          </w:tcPr>
          <w:p w:rsidR="00E60B92" w:rsidRPr="00250A95" w:rsidRDefault="00E60B92" w:rsidP="00E33A67">
            <w:pPr>
              <w:spacing w:line="276" w:lineRule="auto"/>
              <w:jc w:val="both"/>
              <w:rPr>
                <w:rFonts w:cstheme="minorHAnsi"/>
                <w:b/>
              </w:rPr>
            </w:pPr>
          </w:p>
        </w:tc>
        <w:tc>
          <w:tcPr>
            <w:tcW w:w="2261" w:type="dxa"/>
            <w:vAlign w:val="center"/>
          </w:tcPr>
          <w:p w:rsidR="00E60B92" w:rsidRPr="00250A95" w:rsidRDefault="00E60B92" w:rsidP="00AB0D82">
            <w:pPr>
              <w:spacing w:line="276" w:lineRule="auto"/>
              <w:contextualSpacing/>
              <w:jc w:val="center"/>
              <w:rPr>
                <w:rFonts w:cstheme="minorHAnsi"/>
                <w:szCs w:val="24"/>
              </w:rPr>
            </w:pPr>
            <w:r w:rsidRPr="00250A95">
              <w:rPr>
                <w:rFonts w:cstheme="minorHAnsi"/>
                <w:szCs w:val="24"/>
              </w:rPr>
              <w:t>Catálogo de Disposición Documental.</w:t>
            </w:r>
          </w:p>
        </w:tc>
        <w:tc>
          <w:tcPr>
            <w:tcW w:w="1292" w:type="dxa"/>
            <w:vAlign w:val="center"/>
          </w:tcPr>
          <w:p w:rsidR="00E60B92" w:rsidRDefault="00E60B92" w:rsidP="00E60B92">
            <w:pPr>
              <w:spacing w:line="276" w:lineRule="auto"/>
              <w:jc w:val="center"/>
              <w:rPr>
                <w:rFonts w:cstheme="minorHAnsi"/>
              </w:rPr>
            </w:pPr>
            <w:r>
              <w:rPr>
                <w:rFonts w:cstheme="minorHAnsi"/>
              </w:rPr>
              <w:t>60%</w:t>
            </w:r>
          </w:p>
        </w:tc>
        <w:tc>
          <w:tcPr>
            <w:tcW w:w="1409" w:type="dxa"/>
            <w:vAlign w:val="center"/>
          </w:tcPr>
          <w:p w:rsidR="00E60B92" w:rsidRPr="00250A95" w:rsidRDefault="00E60B92" w:rsidP="007B0BAF">
            <w:pPr>
              <w:spacing w:line="276" w:lineRule="auto"/>
              <w:jc w:val="center"/>
              <w:rPr>
                <w:rFonts w:cstheme="minorHAnsi"/>
              </w:rPr>
            </w:pPr>
            <w:r>
              <w:rPr>
                <w:rFonts w:cstheme="minorHAnsi"/>
              </w:rPr>
              <w:t>Anexo 5</w:t>
            </w:r>
          </w:p>
        </w:tc>
        <w:tc>
          <w:tcPr>
            <w:tcW w:w="2973" w:type="dxa"/>
            <w:vMerge/>
          </w:tcPr>
          <w:p w:rsidR="00E60B92" w:rsidRDefault="00E60B92" w:rsidP="00FF1C97">
            <w:pPr>
              <w:jc w:val="both"/>
            </w:pPr>
          </w:p>
        </w:tc>
      </w:tr>
      <w:tr w:rsidR="00E60B92" w:rsidTr="00E60B92">
        <w:tc>
          <w:tcPr>
            <w:tcW w:w="2191" w:type="dxa"/>
            <w:vMerge/>
            <w:vAlign w:val="center"/>
          </w:tcPr>
          <w:p w:rsidR="00E60B92" w:rsidRPr="00250A95" w:rsidRDefault="00E60B92" w:rsidP="00FF1C97">
            <w:pPr>
              <w:spacing w:line="276" w:lineRule="auto"/>
              <w:jc w:val="both"/>
              <w:rPr>
                <w:rFonts w:cstheme="minorHAnsi"/>
                <w:b/>
              </w:rPr>
            </w:pPr>
          </w:p>
        </w:tc>
        <w:tc>
          <w:tcPr>
            <w:tcW w:w="3020" w:type="dxa"/>
            <w:vMerge/>
            <w:vAlign w:val="center"/>
          </w:tcPr>
          <w:p w:rsidR="00E60B92" w:rsidRPr="00250A95" w:rsidRDefault="00E60B92" w:rsidP="00E33A67">
            <w:pPr>
              <w:spacing w:line="276" w:lineRule="auto"/>
              <w:jc w:val="both"/>
              <w:rPr>
                <w:rFonts w:cstheme="minorHAnsi"/>
                <w:b/>
              </w:rPr>
            </w:pPr>
          </w:p>
        </w:tc>
        <w:tc>
          <w:tcPr>
            <w:tcW w:w="2261" w:type="dxa"/>
            <w:vAlign w:val="center"/>
          </w:tcPr>
          <w:p w:rsidR="00E60B92" w:rsidRPr="00250A95" w:rsidRDefault="00E60B92" w:rsidP="00AB0D82">
            <w:pPr>
              <w:spacing w:line="276" w:lineRule="auto"/>
              <w:jc w:val="center"/>
              <w:rPr>
                <w:rFonts w:cstheme="minorHAnsi"/>
                <w:szCs w:val="24"/>
              </w:rPr>
            </w:pPr>
            <w:r w:rsidRPr="00250A95">
              <w:rPr>
                <w:rFonts w:cstheme="minorHAnsi"/>
                <w:szCs w:val="24"/>
              </w:rPr>
              <w:t>Guía Simple de Archivo.</w:t>
            </w:r>
          </w:p>
        </w:tc>
        <w:tc>
          <w:tcPr>
            <w:tcW w:w="1292" w:type="dxa"/>
            <w:vAlign w:val="center"/>
          </w:tcPr>
          <w:p w:rsidR="00E60B92" w:rsidRDefault="00E60B92" w:rsidP="00E60B92">
            <w:pPr>
              <w:spacing w:line="276" w:lineRule="auto"/>
              <w:jc w:val="center"/>
              <w:rPr>
                <w:rFonts w:cstheme="minorHAnsi"/>
              </w:rPr>
            </w:pPr>
            <w:r>
              <w:rPr>
                <w:rFonts w:cstheme="minorHAnsi"/>
              </w:rPr>
              <w:t>0%</w:t>
            </w:r>
          </w:p>
        </w:tc>
        <w:tc>
          <w:tcPr>
            <w:tcW w:w="1409" w:type="dxa"/>
            <w:vAlign w:val="center"/>
          </w:tcPr>
          <w:p w:rsidR="00E60B92" w:rsidRPr="00250A95" w:rsidRDefault="00E60B92" w:rsidP="007B0BAF">
            <w:pPr>
              <w:spacing w:line="276" w:lineRule="auto"/>
              <w:jc w:val="center"/>
              <w:rPr>
                <w:rFonts w:cstheme="minorHAnsi"/>
              </w:rPr>
            </w:pPr>
            <w:r>
              <w:rPr>
                <w:rFonts w:cstheme="minorHAnsi"/>
              </w:rPr>
              <w:t>N/A</w:t>
            </w:r>
          </w:p>
        </w:tc>
        <w:tc>
          <w:tcPr>
            <w:tcW w:w="2973" w:type="dxa"/>
          </w:tcPr>
          <w:p w:rsidR="00E60B92" w:rsidRDefault="00E60B92" w:rsidP="00E60B92">
            <w:pPr>
              <w:jc w:val="center"/>
            </w:pPr>
            <w:r>
              <w:t>Esta actividad estaba supeditada a la conclusión del Cuadro General y Catálogo de Disposición documental.</w:t>
            </w:r>
          </w:p>
        </w:tc>
      </w:tr>
      <w:tr w:rsidR="00E60B92" w:rsidTr="00E60B92">
        <w:tc>
          <w:tcPr>
            <w:tcW w:w="2191" w:type="dxa"/>
            <w:vMerge w:val="restart"/>
            <w:vAlign w:val="center"/>
          </w:tcPr>
          <w:p w:rsidR="00E60B92" w:rsidRPr="00AB0D82" w:rsidRDefault="00E60B92" w:rsidP="00AB0D82">
            <w:pPr>
              <w:spacing w:line="276" w:lineRule="auto"/>
              <w:jc w:val="center"/>
              <w:rPr>
                <w:rFonts w:cstheme="minorHAnsi"/>
                <w:b/>
              </w:rPr>
            </w:pPr>
            <w:r w:rsidRPr="00AB0D82">
              <w:rPr>
                <w:rFonts w:cstheme="minorHAnsi"/>
                <w:szCs w:val="24"/>
              </w:rPr>
              <w:t>Plan de Conservación Integral de los Acervos</w:t>
            </w:r>
          </w:p>
        </w:tc>
        <w:tc>
          <w:tcPr>
            <w:tcW w:w="3020" w:type="dxa"/>
            <w:vMerge w:val="restart"/>
            <w:vAlign w:val="center"/>
          </w:tcPr>
          <w:p w:rsidR="00E60B92" w:rsidRPr="00250A95" w:rsidRDefault="00E60B92" w:rsidP="00E33A67">
            <w:pPr>
              <w:spacing w:line="276" w:lineRule="auto"/>
              <w:jc w:val="both"/>
              <w:rPr>
                <w:rFonts w:cstheme="minorHAnsi"/>
                <w:b/>
              </w:rPr>
            </w:pPr>
            <w:r w:rsidRPr="00250A95">
              <w:rPr>
                <w:rFonts w:cstheme="minorHAnsi"/>
                <w:szCs w:val="24"/>
              </w:rPr>
              <w:t xml:space="preserve">Mantener el Archivo General en las condiciones ambientales y estructurales óptimas para su </w:t>
            </w:r>
            <w:r w:rsidRPr="00250A95">
              <w:rPr>
                <w:rFonts w:cstheme="minorHAnsi"/>
                <w:szCs w:val="24"/>
              </w:rPr>
              <w:lastRenderedPageBreak/>
              <w:t>correcto funcionamiento, a través del Plan de Conservación Integral de los Acervos, contemplando la adhesión de acciones contra emergencias y desastres.</w:t>
            </w:r>
          </w:p>
        </w:tc>
        <w:tc>
          <w:tcPr>
            <w:tcW w:w="2261" w:type="dxa"/>
            <w:vAlign w:val="center"/>
          </w:tcPr>
          <w:p w:rsidR="00E60B92" w:rsidRPr="00250A95" w:rsidRDefault="00E60B92" w:rsidP="00AB0D82">
            <w:pPr>
              <w:spacing w:line="276" w:lineRule="auto"/>
              <w:contextualSpacing/>
              <w:jc w:val="center"/>
              <w:rPr>
                <w:rFonts w:cstheme="minorHAnsi"/>
              </w:rPr>
            </w:pPr>
            <w:r w:rsidRPr="00250A95">
              <w:rPr>
                <w:rFonts w:cstheme="minorHAnsi"/>
                <w:szCs w:val="24"/>
              </w:rPr>
              <w:lastRenderedPageBreak/>
              <w:t>Plan de Conservación Integral de los Acervos.</w:t>
            </w:r>
          </w:p>
        </w:tc>
        <w:tc>
          <w:tcPr>
            <w:tcW w:w="1292" w:type="dxa"/>
            <w:vAlign w:val="center"/>
          </w:tcPr>
          <w:p w:rsidR="00E60B92" w:rsidRDefault="00E60B92" w:rsidP="00AB0D82">
            <w:pPr>
              <w:spacing w:line="276" w:lineRule="auto"/>
              <w:jc w:val="center"/>
              <w:rPr>
                <w:rFonts w:cstheme="minorHAnsi"/>
              </w:rPr>
            </w:pPr>
            <w:r>
              <w:rPr>
                <w:rFonts w:cstheme="minorHAnsi"/>
              </w:rPr>
              <w:t>100%</w:t>
            </w:r>
          </w:p>
        </w:tc>
        <w:tc>
          <w:tcPr>
            <w:tcW w:w="1409" w:type="dxa"/>
            <w:vAlign w:val="center"/>
          </w:tcPr>
          <w:p w:rsidR="00E60B92" w:rsidRPr="00250A95" w:rsidRDefault="00E60B92" w:rsidP="007B0BAF">
            <w:pPr>
              <w:spacing w:line="276" w:lineRule="auto"/>
              <w:jc w:val="center"/>
              <w:rPr>
                <w:rFonts w:cstheme="minorHAnsi"/>
              </w:rPr>
            </w:pPr>
            <w:r>
              <w:rPr>
                <w:rFonts w:cstheme="minorHAnsi"/>
              </w:rPr>
              <w:t>Anexo 6</w:t>
            </w:r>
          </w:p>
        </w:tc>
        <w:tc>
          <w:tcPr>
            <w:tcW w:w="2973" w:type="dxa"/>
          </w:tcPr>
          <w:p w:rsidR="00E60B92" w:rsidRDefault="00E60B92" w:rsidP="00FF1C97">
            <w:pPr>
              <w:jc w:val="both"/>
            </w:pPr>
          </w:p>
        </w:tc>
      </w:tr>
      <w:tr w:rsidR="00E60B92" w:rsidTr="00E60B92">
        <w:tc>
          <w:tcPr>
            <w:tcW w:w="2191" w:type="dxa"/>
            <w:vMerge/>
            <w:vAlign w:val="center"/>
          </w:tcPr>
          <w:p w:rsidR="00E60B92" w:rsidRPr="00250A95" w:rsidRDefault="00E60B92" w:rsidP="00FF1C97">
            <w:pPr>
              <w:spacing w:line="276" w:lineRule="auto"/>
              <w:jc w:val="both"/>
              <w:rPr>
                <w:rFonts w:cstheme="minorHAnsi"/>
                <w:b/>
              </w:rPr>
            </w:pPr>
          </w:p>
        </w:tc>
        <w:tc>
          <w:tcPr>
            <w:tcW w:w="3020" w:type="dxa"/>
            <w:vMerge/>
            <w:vAlign w:val="center"/>
          </w:tcPr>
          <w:p w:rsidR="00E60B92" w:rsidRPr="00250A95" w:rsidRDefault="00E60B92" w:rsidP="00E33A67">
            <w:pPr>
              <w:spacing w:line="276" w:lineRule="auto"/>
              <w:jc w:val="both"/>
              <w:rPr>
                <w:rFonts w:cstheme="minorHAnsi"/>
                <w:b/>
              </w:rPr>
            </w:pPr>
          </w:p>
        </w:tc>
        <w:tc>
          <w:tcPr>
            <w:tcW w:w="2261" w:type="dxa"/>
            <w:vAlign w:val="center"/>
          </w:tcPr>
          <w:p w:rsidR="00E60B92" w:rsidRPr="00250A95" w:rsidRDefault="00E60B92" w:rsidP="00AB0D82">
            <w:pPr>
              <w:spacing w:line="276" w:lineRule="auto"/>
              <w:jc w:val="center"/>
              <w:rPr>
                <w:rFonts w:cstheme="minorHAnsi"/>
                <w:szCs w:val="24"/>
              </w:rPr>
            </w:pPr>
            <w:r w:rsidRPr="00250A95">
              <w:rPr>
                <w:rFonts w:cstheme="minorHAnsi"/>
                <w:szCs w:val="24"/>
              </w:rPr>
              <w:t>Reporte general de las condiciones ambientales de los depósitos.</w:t>
            </w:r>
          </w:p>
        </w:tc>
        <w:tc>
          <w:tcPr>
            <w:tcW w:w="1292" w:type="dxa"/>
            <w:vAlign w:val="center"/>
          </w:tcPr>
          <w:p w:rsidR="00E60B92" w:rsidRPr="00250A95" w:rsidRDefault="00E60B92" w:rsidP="00AB0D82">
            <w:pPr>
              <w:spacing w:line="276" w:lineRule="auto"/>
              <w:jc w:val="center"/>
              <w:rPr>
                <w:rFonts w:cstheme="minorHAnsi"/>
              </w:rPr>
            </w:pPr>
            <w:r>
              <w:rPr>
                <w:rFonts w:cstheme="minorHAnsi"/>
              </w:rPr>
              <w:t>100%</w:t>
            </w:r>
          </w:p>
        </w:tc>
        <w:tc>
          <w:tcPr>
            <w:tcW w:w="1409" w:type="dxa"/>
            <w:vAlign w:val="center"/>
          </w:tcPr>
          <w:p w:rsidR="00E60B92" w:rsidRPr="00250A95" w:rsidRDefault="00E60B92" w:rsidP="007B0BAF">
            <w:pPr>
              <w:spacing w:line="276" w:lineRule="auto"/>
              <w:jc w:val="center"/>
              <w:rPr>
                <w:rFonts w:cstheme="minorHAnsi"/>
              </w:rPr>
            </w:pPr>
            <w:r>
              <w:rPr>
                <w:rFonts w:cstheme="minorHAnsi"/>
              </w:rPr>
              <w:t>Anexo 7</w:t>
            </w:r>
          </w:p>
        </w:tc>
        <w:tc>
          <w:tcPr>
            <w:tcW w:w="2973" w:type="dxa"/>
          </w:tcPr>
          <w:p w:rsidR="00E60B92" w:rsidRDefault="00E60B92" w:rsidP="00FF1C97">
            <w:pPr>
              <w:jc w:val="both"/>
            </w:pPr>
          </w:p>
        </w:tc>
      </w:tr>
      <w:tr w:rsidR="00E60B92" w:rsidTr="00E60B92">
        <w:tc>
          <w:tcPr>
            <w:tcW w:w="2191" w:type="dxa"/>
            <w:vMerge w:val="restart"/>
            <w:vAlign w:val="center"/>
          </w:tcPr>
          <w:p w:rsidR="00E60B92" w:rsidRPr="00250A95" w:rsidRDefault="00E60B92" w:rsidP="0045240A">
            <w:pPr>
              <w:spacing w:line="276" w:lineRule="auto"/>
              <w:jc w:val="center"/>
              <w:rPr>
                <w:rFonts w:cstheme="minorHAnsi"/>
                <w:b/>
              </w:rPr>
            </w:pPr>
            <w:r>
              <w:rPr>
                <w:rFonts w:cstheme="minorHAnsi"/>
                <w:szCs w:val="24"/>
              </w:rPr>
              <w:lastRenderedPageBreak/>
              <w:t>C</w:t>
            </w:r>
            <w:r w:rsidRPr="00250A95">
              <w:rPr>
                <w:rFonts w:cstheme="minorHAnsi"/>
                <w:szCs w:val="24"/>
              </w:rPr>
              <w:t xml:space="preserve">apacitación </w:t>
            </w:r>
            <w:r>
              <w:rPr>
                <w:rFonts w:cstheme="minorHAnsi"/>
                <w:szCs w:val="24"/>
              </w:rPr>
              <w:t>en materia de archivos</w:t>
            </w:r>
            <w:r w:rsidRPr="00250A95">
              <w:rPr>
                <w:rFonts w:cstheme="minorHAnsi"/>
                <w:szCs w:val="24"/>
              </w:rPr>
              <w:t>.</w:t>
            </w:r>
          </w:p>
        </w:tc>
        <w:tc>
          <w:tcPr>
            <w:tcW w:w="3020" w:type="dxa"/>
            <w:vMerge w:val="restart"/>
            <w:vAlign w:val="center"/>
          </w:tcPr>
          <w:p w:rsidR="00E60B92" w:rsidRPr="00250A95" w:rsidRDefault="00E60B92" w:rsidP="00E33A67">
            <w:pPr>
              <w:spacing w:line="276" w:lineRule="auto"/>
              <w:jc w:val="both"/>
              <w:rPr>
                <w:rFonts w:cstheme="minorHAnsi"/>
                <w:b/>
              </w:rPr>
            </w:pPr>
            <w:r w:rsidRPr="00250A95">
              <w:rPr>
                <w:rFonts w:cstheme="minorHAnsi"/>
                <w:szCs w:val="24"/>
              </w:rPr>
              <w:t>Implementar un programa de capacitación continua para el personal del Tribunal, además  de cursos especializados en materia archivística para los in</w:t>
            </w:r>
            <w:r>
              <w:rPr>
                <w:rFonts w:cstheme="minorHAnsi"/>
                <w:szCs w:val="24"/>
              </w:rPr>
              <w:t>tegrantes de la Coordinación de</w:t>
            </w:r>
            <w:r w:rsidRPr="00250A95">
              <w:rPr>
                <w:rFonts w:cstheme="minorHAnsi"/>
                <w:szCs w:val="24"/>
              </w:rPr>
              <w:t xml:space="preserve"> Archivo General.</w:t>
            </w:r>
          </w:p>
        </w:tc>
        <w:tc>
          <w:tcPr>
            <w:tcW w:w="2261" w:type="dxa"/>
            <w:vAlign w:val="center"/>
          </w:tcPr>
          <w:p w:rsidR="00E60B92" w:rsidRPr="00250A95" w:rsidRDefault="00E60B92" w:rsidP="0045240A">
            <w:pPr>
              <w:spacing w:line="276" w:lineRule="auto"/>
              <w:contextualSpacing/>
              <w:jc w:val="center"/>
              <w:rPr>
                <w:rFonts w:cstheme="minorHAnsi"/>
              </w:rPr>
            </w:pPr>
            <w:r w:rsidRPr="00250A95">
              <w:rPr>
                <w:rFonts w:cstheme="minorHAnsi"/>
                <w:szCs w:val="24"/>
              </w:rPr>
              <w:t>Evidencia de impartición de capacitación.</w:t>
            </w:r>
          </w:p>
        </w:tc>
        <w:tc>
          <w:tcPr>
            <w:tcW w:w="1292" w:type="dxa"/>
            <w:vAlign w:val="center"/>
          </w:tcPr>
          <w:p w:rsidR="00E60B92" w:rsidRPr="00250A95" w:rsidRDefault="00E60B92" w:rsidP="0045240A">
            <w:pPr>
              <w:spacing w:line="276" w:lineRule="auto"/>
              <w:jc w:val="center"/>
              <w:rPr>
                <w:rFonts w:cstheme="minorHAnsi"/>
              </w:rPr>
            </w:pPr>
            <w:r>
              <w:rPr>
                <w:rFonts w:cstheme="minorHAnsi"/>
              </w:rPr>
              <w:t>100%</w:t>
            </w:r>
          </w:p>
        </w:tc>
        <w:tc>
          <w:tcPr>
            <w:tcW w:w="1409" w:type="dxa"/>
            <w:vAlign w:val="center"/>
          </w:tcPr>
          <w:p w:rsidR="00E60B92" w:rsidRPr="00250A95" w:rsidRDefault="00E60B92" w:rsidP="007B0BAF">
            <w:pPr>
              <w:spacing w:line="276" w:lineRule="auto"/>
              <w:jc w:val="center"/>
              <w:rPr>
                <w:rFonts w:cstheme="minorHAnsi"/>
              </w:rPr>
            </w:pPr>
            <w:r>
              <w:rPr>
                <w:rFonts w:cstheme="minorHAnsi"/>
              </w:rPr>
              <w:t>Anexo 8</w:t>
            </w:r>
          </w:p>
        </w:tc>
        <w:tc>
          <w:tcPr>
            <w:tcW w:w="2973" w:type="dxa"/>
            <w:vMerge w:val="restart"/>
            <w:vAlign w:val="center"/>
          </w:tcPr>
          <w:p w:rsidR="00E60B92" w:rsidRPr="00E60B92" w:rsidRDefault="00E60B92" w:rsidP="00291FC4">
            <w:pPr>
              <w:jc w:val="both"/>
              <w:rPr>
                <w:sz w:val="20"/>
              </w:rPr>
            </w:pPr>
            <w:r w:rsidRPr="00E60B92">
              <w:rPr>
                <w:sz w:val="20"/>
              </w:rPr>
              <w:t>Este rubro no quedó plasmado como proyecto, sin embargo es uno de los elementos que deberá contener el programa anual, motivo por el cual se estableció un objetivo específico y los entregables que darían cuenta de esta actividad.</w:t>
            </w:r>
          </w:p>
        </w:tc>
      </w:tr>
      <w:tr w:rsidR="00E60B92" w:rsidTr="00E60B92">
        <w:tc>
          <w:tcPr>
            <w:tcW w:w="2191" w:type="dxa"/>
            <w:vMerge/>
            <w:vAlign w:val="center"/>
          </w:tcPr>
          <w:p w:rsidR="00E60B92" w:rsidRPr="00250A95" w:rsidRDefault="00E60B92" w:rsidP="00FF1C97">
            <w:pPr>
              <w:spacing w:line="276" w:lineRule="auto"/>
              <w:jc w:val="both"/>
              <w:rPr>
                <w:rFonts w:cstheme="minorHAnsi"/>
                <w:b/>
              </w:rPr>
            </w:pPr>
          </w:p>
        </w:tc>
        <w:tc>
          <w:tcPr>
            <w:tcW w:w="3020" w:type="dxa"/>
            <w:vMerge/>
            <w:vAlign w:val="center"/>
          </w:tcPr>
          <w:p w:rsidR="00E60B92" w:rsidRPr="00250A95" w:rsidRDefault="00E60B92" w:rsidP="00E33A67">
            <w:pPr>
              <w:spacing w:line="276" w:lineRule="auto"/>
              <w:jc w:val="both"/>
              <w:rPr>
                <w:rFonts w:cstheme="minorHAnsi"/>
                <w:b/>
              </w:rPr>
            </w:pPr>
          </w:p>
        </w:tc>
        <w:tc>
          <w:tcPr>
            <w:tcW w:w="2261" w:type="dxa"/>
            <w:vAlign w:val="center"/>
          </w:tcPr>
          <w:p w:rsidR="00E60B92" w:rsidRPr="00250A95" w:rsidRDefault="00E60B92" w:rsidP="0045240A">
            <w:pPr>
              <w:spacing w:line="276" w:lineRule="auto"/>
              <w:jc w:val="center"/>
              <w:rPr>
                <w:rFonts w:cstheme="minorHAnsi"/>
                <w:szCs w:val="24"/>
              </w:rPr>
            </w:pPr>
            <w:r>
              <w:rPr>
                <w:rFonts w:cstheme="minorHAnsi"/>
                <w:szCs w:val="24"/>
              </w:rPr>
              <w:t xml:space="preserve">Constancias de participación </w:t>
            </w:r>
            <w:r w:rsidRPr="00250A95">
              <w:rPr>
                <w:rFonts w:cstheme="minorHAnsi"/>
                <w:szCs w:val="24"/>
              </w:rPr>
              <w:t>e</w:t>
            </w:r>
            <w:r>
              <w:rPr>
                <w:rFonts w:cstheme="minorHAnsi"/>
                <w:szCs w:val="24"/>
              </w:rPr>
              <w:t>n</w:t>
            </w:r>
            <w:r w:rsidRPr="00250A95">
              <w:rPr>
                <w:rFonts w:cstheme="minorHAnsi"/>
                <w:szCs w:val="24"/>
              </w:rPr>
              <w:t xml:space="preserve"> capacitación.</w:t>
            </w:r>
          </w:p>
        </w:tc>
        <w:tc>
          <w:tcPr>
            <w:tcW w:w="1292" w:type="dxa"/>
            <w:vAlign w:val="center"/>
          </w:tcPr>
          <w:p w:rsidR="00E60B92" w:rsidRPr="00250A95" w:rsidRDefault="00E60B92" w:rsidP="0045240A">
            <w:pPr>
              <w:spacing w:line="276" w:lineRule="auto"/>
              <w:jc w:val="center"/>
              <w:rPr>
                <w:rFonts w:cstheme="minorHAnsi"/>
              </w:rPr>
            </w:pPr>
            <w:r>
              <w:rPr>
                <w:rFonts w:cstheme="minorHAnsi"/>
              </w:rPr>
              <w:t>100%</w:t>
            </w:r>
          </w:p>
        </w:tc>
        <w:tc>
          <w:tcPr>
            <w:tcW w:w="1409" w:type="dxa"/>
            <w:vAlign w:val="center"/>
          </w:tcPr>
          <w:p w:rsidR="00E60B92" w:rsidRPr="00250A95" w:rsidRDefault="00E60B92" w:rsidP="007B0BAF">
            <w:pPr>
              <w:spacing w:line="276" w:lineRule="auto"/>
              <w:jc w:val="center"/>
              <w:rPr>
                <w:rFonts w:cstheme="minorHAnsi"/>
              </w:rPr>
            </w:pPr>
            <w:r>
              <w:rPr>
                <w:rFonts w:cstheme="minorHAnsi"/>
              </w:rPr>
              <w:t>Anexo 9</w:t>
            </w:r>
          </w:p>
        </w:tc>
        <w:tc>
          <w:tcPr>
            <w:tcW w:w="2973" w:type="dxa"/>
            <w:vMerge/>
          </w:tcPr>
          <w:p w:rsidR="00E60B92" w:rsidRDefault="00E60B92" w:rsidP="00FF1C97">
            <w:pPr>
              <w:jc w:val="both"/>
            </w:pPr>
          </w:p>
        </w:tc>
      </w:tr>
      <w:tr w:rsidR="00E60B92" w:rsidTr="00E60B92">
        <w:tc>
          <w:tcPr>
            <w:tcW w:w="2191" w:type="dxa"/>
            <w:vMerge w:val="restart"/>
            <w:vAlign w:val="center"/>
          </w:tcPr>
          <w:p w:rsidR="00E60B92" w:rsidRDefault="00E60B92" w:rsidP="00AB0D82">
            <w:pPr>
              <w:spacing w:line="276" w:lineRule="auto"/>
              <w:jc w:val="center"/>
              <w:rPr>
                <w:rFonts w:cstheme="minorHAnsi"/>
                <w:szCs w:val="24"/>
              </w:rPr>
            </w:pPr>
            <w:r w:rsidRPr="00AB0D82">
              <w:rPr>
                <w:rFonts w:cstheme="minorHAnsi"/>
                <w:szCs w:val="24"/>
              </w:rPr>
              <w:t xml:space="preserve">Sistema Institucional de Archivos </w:t>
            </w:r>
          </w:p>
          <w:p w:rsidR="00E60B92" w:rsidRPr="00250A95" w:rsidRDefault="00E60B92" w:rsidP="00AB0D82">
            <w:pPr>
              <w:spacing w:line="276" w:lineRule="auto"/>
              <w:jc w:val="center"/>
              <w:rPr>
                <w:rFonts w:cstheme="minorHAnsi"/>
                <w:b/>
              </w:rPr>
            </w:pPr>
            <w:r w:rsidRPr="00AB0D82">
              <w:rPr>
                <w:rFonts w:cstheme="minorHAnsi"/>
                <w:szCs w:val="24"/>
              </w:rPr>
              <w:t>(acciones previas a su integración)</w:t>
            </w:r>
          </w:p>
        </w:tc>
        <w:tc>
          <w:tcPr>
            <w:tcW w:w="3020" w:type="dxa"/>
            <w:vMerge w:val="restart"/>
            <w:vAlign w:val="center"/>
          </w:tcPr>
          <w:p w:rsidR="00E60B92" w:rsidRPr="00250A95" w:rsidRDefault="00E60B92" w:rsidP="00E33A67">
            <w:pPr>
              <w:spacing w:line="276" w:lineRule="auto"/>
              <w:jc w:val="both"/>
              <w:rPr>
                <w:rFonts w:cstheme="minorHAnsi"/>
                <w:b/>
              </w:rPr>
            </w:pPr>
            <w:r w:rsidRPr="00250A95">
              <w:rPr>
                <w:rFonts w:cstheme="minorHAnsi"/>
                <w:szCs w:val="24"/>
              </w:rPr>
              <w:t>Definir los procesos que se deberán llevar a cabo en la unidad de correspondencia y emitir los nombramientos de los responsables de las áreas operativas que integrarán el Sistema Institucional de Archivos del Tribunal.</w:t>
            </w:r>
          </w:p>
        </w:tc>
        <w:tc>
          <w:tcPr>
            <w:tcW w:w="2261" w:type="dxa"/>
            <w:vAlign w:val="center"/>
          </w:tcPr>
          <w:p w:rsidR="00E60B92" w:rsidRPr="00250A95" w:rsidRDefault="00E60B92" w:rsidP="0045240A">
            <w:pPr>
              <w:spacing w:line="276" w:lineRule="auto"/>
              <w:contextualSpacing/>
              <w:jc w:val="center"/>
              <w:rPr>
                <w:rFonts w:cstheme="minorHAnsi"/>
                <w:szCs w:val="24"/>
              </w:rPr>
            </w:pPr>
            <w:r w:rsidRPr="00250A95">
              <w:rPr>
                <w:rFonts w:cstheme="minorHAnsi"/>
                <w:szCs w:val="24"/>
              </w:rPr>
              <w:t>Diagramas de flujo de los procesos de la unidad de correspondencia.</w:t>
            </w:r>
          </w:p>
        </w:tc>
        <w:tc>
          <w:tcPr>
            <w:tcW w:w="1292" w:type="dxa"/>
            <w:vAlign w:val="center"/>
          </w:tcPr>
          <w:p w:rsidR="00E60B92" w:rsidRPr="00250A95" w:rsidRDefault="00E60B92" w:rsidP="0045240A">
            <w:pPr>
              <w:spacing w:line="276" w:lineRule="auto"/>
              <w:jc w:val="center"/>
              <w:rPr>
                <w:rFonts w:cstheme="minorHAnsi"/>
              </w:rPr>
            </w:pPr>
            <w:r>
              <w:rPr>
                <w:rFonts w:cstheme="minorHAnsi"/>
              </w:rPr>
              <w:t>100%</w:t>
            </w:r>
          </w:p>
        </w:tc>
        <w:tc>
          <w:tcPr>
            <w:tcW w:w="1409" w:type="dxa"/>
            <w:vAlign w:val="center"/>
          </w:tcPr>
          <w:p w:rsidR="00E60B92" w:rsidRPr="00250A95" w:rsidRDefault="00E60B92" w:rsidP="007B0BAF">
            <w:pPr>
              <w:spacing w:line="276" w:lineRule="auto"/>
              <w:jc w:val="center"/>
              <w:rPr>
                <w:rFonts w:cstheme="minorHAnsi"/>
              </w:rPr>
            </w:pPr>
            <w:r>
              <w:rPr>
                <w:rFonts w:cstheme="minorHAnsi"/>
              </w:rPr>
              <w:t>Anexo 10</w:t>
            </w:r>
          </w:p>
        </w:tc>
        <w:tc>
          <w:tcPr>
            <w:tcW w:w="2973" w:type="dxa"/>
          </w:tcPr>
          <w:p w:rsidR="00E60B92" w:rsidRDefault="00E60B92" w:rsidP="00FF1C97">
            <w:pPr>
              <w:jc w:val="both"/>
            </w:pPr>
          </w:p>
        </w:tc>
      </w:tr>
      <w:tr w:rsidR="00E60B92" w:rsidTr="00E60B92">
        <w:tc>
          <w:tcPr>
            <w:tcW w:w="2191" w:type="dxa"/>
            <w:vMerge/>
            <w:vAlign w:val="center"/>
          </w:tcPr>
          <w:p w:rsidR="00E60B92" w:rsidRPr="00250A95" w:rsidRDefault="00E60B92" w:rsidP="00FF1C97">
            <w:pPr>
              <w:spacing w:line="276" w:lineRule="auto"/>
              <w:jc w:val="both"/>
              <w:rPr>
                <w:rFonts w:cstheme="minorHAnsi"/>
              </w:rPr>
            </w:pPr>
          </w:p>
        </w:tc>
        <w:tc>
          <w:tcPr>
            <w:tcW w:w="3020" w:type="dxa"/>
            <w:vMerge/>
            <w:vAlign w:val="center"/>
          </w:tcPr>
          <w:p w:rsidR="00E60B92" w:rsidRPr="00250A95" w:rsidRDefault="00E60B92" w:rsidP="00FF1C97">
            <w:pPr>
              <w:spacing w:line="276" w:lineRule="auto"/>
              <w:jc w:val="both"/>
              <w:rPr>
                <w:rFonts w:cstheme="minorHAnsi"/>
              </w:rPr>
            </w:pPr>
          </w:p>
        </w:tc>
        <w:tc>
          <w:tcPr>
            <w:tcW w:w="2261" w:type="dxa"/>
            <w:vAlign w:val="center"/>
          </w:tcPr>
          <w:p w:rsidR="00E60B92" w:rsidRPr="00250A95" w:rsidRDefault="00E60B92" w:rsidP="00AA0A4D">
            <w:pPr>
              <w:spacing w:line="276" w:lineRule="auto"/>
              <w:jc w:val="center"/>
              <w:rPr>
                <w:rFonts w:cstheme="minorHAnsi"/>
                <w:szCs w:val="24"/>
              </w:rPr>
            </w:pPr>
            <w:r w:rsidRPr="00250A95">
              <w:rPr>
                <w:rFonts w:cstheme="minorHAnsi"/>
                <w:szCs w:val="24"/>
              </w:rPr>
              <w:t>Emisión de los nombramientos de los responsables de las áreas operativas que integrarán el Sistema Institucional de Archivos del Tribunal.</w:t>
            </w:r>
          </w:p>
        </w:tc>
        <w:tc>
          <w:tcPr>
            <w:tcW w:w="1292" w:type="dxa"/>
            <w:vAlign w:val="center"/>
          </w:tcPr>
          <w:p w:rsidR="00E60B92" w:rsidRPr="00250A95" w:rsidRDefault="00E60B92" w:rsidP="00291FC4">
            <w:pPr>
              <w:spacing w:line="276" w:lineRule="auto"/>
              <w:jc w:val="center"/>
              <w:rPr>
                <w:rFonts w:cstheme="minorHAnsi"/>
              </w:rPr>
            </w:pPr>
            <w:r>
              <w:rPr>
                <w:rFonts w:cstheme="minorHAnsi"/>
              </w:rPr>
              <w:t>100%</w:t>
            </w:r>
          </w:p>
        </w:tc>
        <w:tc>
          <w:tcPr>
            <w:tcW w:w="1409" w:type="dxa"/>
            <w:vAlign w:val="center"/>
          </w:tcPr>
          <w:p w:rsidR="00E60B92" w:rsidRPr="00250A95" w:rsidRDefault="00E60B92" w:rsidP="007B0BAF">
            <w:pPr>
              <w:spacing w:line="276" w:lineRule="auto"/>
              <w:jc w:val="center"/>
              <w:rPr>
                <w:rFonts w:cstheme="minorHAnsi"/>
              </w:rPr>
            </w:pPr>
            <w:r>
              <w:rPr>
                <w:rFonts w:cstheme="minorHAnsi"/>
              </w:rPr>
              <w:t>Anexo 11</w:t>
            </w:r>
          </w:p>
        </w:tc>
        <w:tc>
          <w:tcPr>
            <w:tcW w:w="2973" w:type="dxa"/>
          </w:tcPr>
          <w:p w:rsidR="00E60B92" w:rsidRDefault="00E60B92" w:rsidP="00FF1C97">
            <w:pPr>
              <w:jc w:val="both"/>
            </w:pPr>
          </w:p>
        </w:tc>
      </w:tr>
    </w:tbl>
    <w:p w:rsidR="00FF1C97" w:rsidRDefault="00FF1C97" w:rsidP="00FF1C97">
      <w:pPr>
        <w:spacing w:after="0"/>
        <w:jc w:val="both"/>
      </w:pPr>
    </w:p>
    <w:p w:rsidR="00E60B92" w:rsidRDefault="00E60B92" w:rsidP="00FF1C97">
      <w:pPr>
        <w:spacing w:after="0"/>
        <w:jc w:val="both"/>
      </w:pPr>
    </w:p>
    <w:p w:rsidR="00D456AA" w:rsidRDefault="00D456AA" w:rsidP="00FF1C97">
      <w:pPr>
        <w:spacing w:after="0"/>
        <w:jc w:val="both"/>
        <w:sectPr w:rsidR="00D456AA" w:rsidSect="00D456AA">
          <w:pgSz w:w="15840" w:h="12240" w:orient="landscape"/>
          <w:pgMar w:top="1701" w:right="1417" w:bottom="1701" w:left="1417" w:header="708" w:footer="708" w:gutter="0"/>
          <w:cols w:space="708"/>
          <w:docGrid w:linePitch="360"/>
        </w:sectPr>
      </w:pPr>
    </w:p>
    <w:p w:rsidR="00716E8D" w:rsidRDefault="00716E8D" w:rsidP="00FF1C97">
      <w:pPr>
        <w:spacing w:after="0"/>
        <w:jc w:val="both"/>
      </w:pPr>
    </w:p>
    <w:p w:rsidR="00716E8D" w:rsidRDefault="00716E8D" w:rsidP="00FF1C97">
      <w:pPr>
        <w:spacing w:after="0"/>
        <w:jc w:val="both"/>
      </w:pPr>
    </w:p>
    <w:p w:rsidR="00716E8D" w:rsidRDefault="00716E8D" w:rsidP="00FF1C97">
      <w:pPr>
        <w:spacing w:after="0"/>
        <w:jc w:val="both"/>
      </w:pPr>
    </w:p>
    <w:p w:rsidR="00A8705D" w:rsidRDefault="00A8705D" w:rsidP="00FF1C97">
      <w:pPr>
        <w:spacing w:after="0"/>
        <w:jc w:val="both"/>
      </w:pPr>
    </w:p>
    <w:p w:rsidR="00A8705D" w:rsidRDefault="00A8705D" w:rsidP="00FF1C97">
      <w:pPr>
        <w:spacing w:after="0"/>
        <w:jc w:val="both"/>
      </w:pPr>
    </w:p>
    <w:p w:rsidR="00E60B92" w:rsidRDefault="00E60B92" w:rsidP="00E60B92">
      <w:pPr>
        <w:spacing w:after="0"/>
        <w:jc w:val="both"/>
        <w:rPr>
          <w:rFonts w:ascii="Segoe UI" w:hAnsi="Segoe UI" w:cs="Segoe UI"/>
          <w:b/>
          <w:color w:val="0F243E" w:themeColor="text2" w:themeShade="80"/>
          <w:sz w:val="36"/>
        </w:rPr>
      </w:pPr>
      <w:r>
        <w:rPr>
          <w:rFonts w:ascii="Segoe UI" w:hAnsi="Segoe UI" w:cs="Segoe UI"/>
          <w:b/>
          <w:color w:val="0F243E" w:themeColor="text2" w:themeShade="80"/>
          <w:sz w:val="36"/>
        </w:rPr>
        <w:t>Justificación</w:t>
      </w:r>
    </w:p>
    <w:p w:rsidR="00E60B92" w:rsidRDefault="00E60B92" w:rsidP="00E60B92">
      <w:pPr>
        <w:spacing w:after="0" w:line="360" w:lineRule="auto"/>
        <w:jc w:val="both"/>
        <w:rPr>
          <w:rFonts w:ascii="Segoe UI" w:hAnsi="Segoe UI" w:cs="Segoe UI"/>
        </w:rPr>
      </w:pPr>
    </w:p>
    <w:p w:rsidR="00E60B92" w:rsidRDefault="00E60B92" w:rsidP="00E60B92">
      <w:pPr>
        <w:spacing w:after="0"/>
        <w:jc w:val="both"/>
        <w:rPr>
          <w:rFonts w:ascii="Segoe UI" w:hAnsi="Segoe UI" w:cs="Segoe UI"/>
        </w:rPr>
      </w:pPr>
      <w:r>
        <w:rPr>
          <w:rFonts w:ascii="Segoe UI" w:hAnsi="Segoe UI" w:cs="Segoe UI"/>
        </w:rPr>
        <w:t>Como se mencionó en el punto anterior, la pandemia ocasionada por la propagación del contagio de</w:t>
      </w:r>
      <w:r w:rsidR="00F420B6">
        <w:rPr>
          <w:rFonts w:ascii="Segoe UI" w:hAnsi="Segoe UI" w:cs="Segoe UI"/>
        </w:rPr>
        <w:t xml:space="preserve"> </w:t>
      </w:r>
      <w:r>
        <w:rPr>
          <w:rFonts w:ascii="Segoe UI" w:hAnsi="Segoe UI" w:cs="Segoe UI"/>
        </w:rPr>
        <w:t>l</w:t>
      </w:r>
      <w:r w:rsidR="00F420B6">
        <w:rPr>
          <w:rFonts w:ascii="Segoe UI" w:hAnsi="Segoe UI" w:cs="Segoe UI"/>
        </w:rPr>
        <w:t>a</w:t>
      </w:r>
      <w:r>
        <w:rPr>
          <w:rFonts w:ascii="Segoe UI" w:hAnsi="Segoe UI" w:cs="Segoe UI"/>
        </w:rPr>
        <w:t xml:space="preserve"> Covid-19, ha representado un reto para el cumplimiento de las actividades proyectadas, ya que se vieron alteradas las dinámicas de trabajo, entre ellas la disminución de la asistencia a la sede del Tribunal. Lo anterior se menciona en virtud de que las actividades vinculadas a dos de los proyectos son en gran parte presenciales, siendo </w:t>
      </w:r>
      <w:r w:rsidR="00F420B6">
        <w:rPr>
          <w:rFonts w:ascii="Segoe UI" w:hAnsi="Segoe UI" w:cs="Segoe UI"/>
        </w:rPr>
        <w:t xml:space="preserve">ésta </w:t>
      </w:r>
      <w:r>
        <w:rPr>
          <w:rFonts w:ascii="Segoe UI" w:hAnsi="Segoe UI" w:cs="Segoe UI"/>
        </w:rPr>
        <w:t>una de las principales razones por la que se está reportando un cumplimiento parcial. A continuación se detallan como afectó de manera particular a cada proyecto:</w:t>
      </w:r>
    </w:p>
    <w:p w:rsidR="00E60B92" w:rsidRDefault="00E60B92" w:rsidP="00E60B92">
      <w:pPr>
        <w:spacing w:after="0"/>
        <w:jc w:val="both"/>
        <w:rPr>
          <w:rFonts w:ascii="Segoe UI" w:hAnsi="Segoe UI" w:cs="Segoe UI"/>
        </w:rPr>
      </w:pPr>
    </w:p>
    <w:p w:rsidR="00E60B92" w:rsidRPr="00E60B92" w:rsidRDefault="00E60B92" w:rsidP="00FF1C97">
      <w:pPr>
        <w:spacing w:after="0"/>
        <w:jc w:val="both"/>
        <w:rPr>
          <w:rFonts w:ascii="Segoe UI" w:hAnsi="Segoe UI" w:cs="Segoe UI"/>
          <w:szCs w:val="24"/>
        </w:rPr>
      </w:pPr>
    </w:p>
    <w:p w:rsidR="00F420B6" w:rsidRDefault="00E60B92" w:rsidP="00F420B6">
      <w:pPr>
        <w:spacing w:after="0"/>
        <w:jc w:val="both"/>
        <w:rPr>
          <w:rFonts w:ascii="Segoe UI" w:hAnsi="Segoe UI" w:cs="Segoe UI"/>
          <w:szCs w:val="24"/>
        </w:rPr>
      </w:pPr>
      <w:r w:rsidRPr="00F420B6">
        <w:rPr>
          <w:rFonts w:ascii="Segoe UI" w:hAnsi="Segoe UI" w:cs="Segoe UI"/>
          <w:b/>
          <w:szCs w:val="24"/>
        </w:rPr>
        <w:t>Catálogo de la colección de documentos fotográficos relativos a las diferentes actividades desarrolladas en el Tribunal</w:t>
      </w:r>
      <w:r w:rsidRPr="00E60B92">
        <w:rPr>
          <w:rFonts w:ascii="Segoe UI" w:hAnsi="Segoe UI" w:cs="Segoe UI"/>
          <w:szCs w:val="24"/>
        </w:rPr>
        <w:t>.</w:t>
      </w:r>
      <w:r>
        <w:rPr>
          <w:rFonts w:ascii="Segoe UI" w:hAnsi="Segoe UI" w:cs="Segoe UI"/>
          <w:szCs w:val="24"/>
        </w:rPr>
        <w:t xml:space="preserve">- </w:t>
      </w:r>
      <w:r w:rsidR="00F420B6">
        <w:rPr>
          <w:rFonts w:ascii="Segoe UI" w:hAnsi="Segoe UI" w:cs="Segoe UI"/>
          <w:szCs w:val="24"/>
        </w:rPr>
        <w:t>La descripción documental es la tarea primordial de la creación del catálogo, ya que ésta permitirá la identificación de los elementos que se encuentran plasmados en cada una de las fotografías. Para desarrollar esta actividad, es indispensable tener el material a la mano para reconocer los aspectos internos y externos del documento.</w:t>
      </w:r>
    </w:p>
    <w:p w:rsidR="00F420B6" w:rsidRDefault="00F420B6" w:rsidP="00F420B6">
      <w:pPr>
        <w:spacing w:after="0"/>
        <w:jc w:val="both"/>
        <w:rPr>
          <w:rFonts w:ascii="Segoe UI" w:hAnsi="Segoe UI" w:cs="Segoe UI"/>
          <w:szCs w:val="24"/>
        </w:rPr>
      </w:pPr>
      <w:r>
        <w:rPr>
          <w:rFonts w:ascii="Segoe UI" w:hAnsi="Segoe UI" w:cs="Segoe UI"/>
          <w:szCs w:val="24"/>
        </w:rPr>
        <w:t xml:space="preserve"> </w:t>
      </w:r>
    </w:p>
    <w:p w:rsidR="00F420B6" w:rsidRDefault="00F420B6" w:rsidP="00F420B6">
      <w:pPr>
        <w:spacing w:after="0"/>
        <w:jc w:val="both"/>
        <w:rPr>
          <w:rFonts w:ascii="Segoe UI" w:hAnsi="Segoe UI" w:cs="Segoe UI"/>
          <w:szCs w:val="24"/>
        </w:rPr>
      </w:pPr>
      <w:r>
        <w:rPr>
          <w:rFonts w:ascii="Segoe UI" w:hAnsi="Segoe UI" w:cs="Segoe UI"/>
          <w:szCs w:val="24"/>
        </w:rPr>
        <w:t>Al ser la colección fotográfica parte del acervo documental del Tribunal, es imposible su salida del depósito del Archivo Histórico para trabajarlo en casa y al no contar, hasta el momento,</w:t>
      </w:r>
      <w:r>
        <w:rPr>
          <w:rStyle w:val="Refdenotaalpie"/>
          <w:rFonts w:ascii="Segoe UI" w:hAnsi="Segoe UI" w:cs="Segoe UI"/>
          <w:szCs w:val="24"/>
        </w:rPr>
        <w:footnoteReference w:id="1"/>
      </w:r>
      <w:r>
        <w:rPr>
          <w:rFonts w:ascii="Segoe UI" w:hAnsi="Segoe UI" w:cs="Segoe UI"/>
          <w:szCs w:val="24"/>
        </w:rPr>
        <w:t xml:space="preserve"> con la versión digital de dichas fotografías, la única opción es la manipulación de los documentos en las instalaciones del Archivo General.</w:t>
      </w:r>
    </w:p>
    <w:p w:rsidR="00F420B6" w:rsidRDefault="00F420B6" w:rsidP="00F420B6">
      <w:pPr>
        <w:spacing w:after="0"/>
        <w:jc w:val="both"/>
        <w:rPr>
          <w:rFonts w:ascii="Segoe UI" w:hAnsi="Segoe UI" w:cs="Segoe UI"/>
          <w:szCs w:val="24"/>
        </w:rPr>
      </w:pPr>
    </w:p>
    <w:p w:rsidR="00F420B6" w:rsidRDefault="00F420B6" w:rsidP="00F420B6">
      <w:pPr>
        <w:spacing w:after="0"/>
        <w:jc w:val="both"/>
        <w:rPr>
          <w:rFonts w:ascii="Segoe UI" w:hAnsi="Segoe UI" w:cs="Segoe UI"/>
          <w:szCs w:val="24"/>
        </w:rPr>
      </w:pPr>
      <w:r>
        <w:rPr>
          <w:rFonts w:ascii="Segoe UI" w:hAnsi="Segoe UI" w:cs="Segoe UI"/>
          <w:szCs w:val="24"/>
        </w:rPr>
        <w:t>Con la disminución del personal que acudiría a la sede del Tribunal, se tuvo que dar prioridad a las actividades referentes a la atención a los usuarios para los servicios de préstamo y consulta de expedientes, acortando los tiempos para dedicar específicamente al proyecto de catalogación.</w:t>
      </w:r>
    </w:p>
    <w:p w:rsidR="00F420B6" w:rsidRDefault="00F420B6" w:rsidP="00F420B6">
      <w:pPr>
        <w:spacing w:after="0"/>
        <w:jc w:val="both"/>
        <w:rPr>
          <w:rFonts w:ascii="Segoe UI" w:hAnsi="Segoe UI" w:cs="Segoe UI"/>
          <w:szCs w:val="24"/>
        </w:rPr>
      </w:pPr>
    </w:p>
    <w:p w:rsidR="00E60B92" w:rsidRPr="00E60B92" w:rsidRDefault="00F420B6" w:rsidP="00F420B6">
      <w:pPr>
        <w:spacing w:after="0"/>
        <w:jc w:val="both"/>
        <w:rPr>
          <w:rFonts w:ascii="Segoe UI" w:hAnsi="Segoe UI" w:cs="Segoe UI"/>
        </w:rPr>
      </w:pPr>
      <w:r>
        <w:rPr>
          <w:rFonts w:ascii="Segoe UI" w:hAnsi="Segoe UI" w:cs="Segoe UI"/>
          <w:szCs w:val="24"/>
        </w:rPr>
        <w:t xml:space="preserve">El proceso de ordenación y conservación óptima del acervo se vio igualmente retrasado debido a que los materiales para las guardas y contenedores se cotizaron con una empresa </w:t>
      </w:r>
      <w:r>
        <w:rPr>
          <w:rFonts w:ascii="Segoe UI" w:hAnsi="Segoe UI" w:cs="Segoe UI"/>
          <w:szCs w:val="24"/>
        </w:rPr>
        <w:lastRenderedPageBreak/>
        <w:t>especializada en este ámbito. Al ser productos de importación de Estados Unidos y con las restricciones de intercambios comerciales, su compra se postergó hasta finales de año</w:t>
      </w:r>
      <w:r>
        <w:rPr>
          <w:rFonts w:ascii="Segoe UI" w:hAnsi="Segoe UI" w:cs="Segoe UI"/>
          <w:szCs w:val="24"/>
        </w:rPr>
        <w:t>.</w:t>
      </w:r>
      <w:r>
        <w:rPr>
          <w:rFonts w:ascii="Segoe UI" w:hAnsi="Segoe UI" w:cs="Segoe UI"/>
          <w:szCs w:val="24"/>
        </w:rPr>
        <w:t xml:space="preserve"> </w:t>
      </w:r>
    </w:p>
    <w:p w:rsidR="00A8705D" w:rsidRPr="00E60B92" w:rsidRDefault="00A8705D" w:rsidP="00FF1C97">
      <w:pPr>
        <w:spacing w:after="0"/>
        <w:jc w:val="both"/>
        <w:rPr>
          <w:rFonts w:ascii="Segoe UI" w:hAnsi="Segoe UI" w:cs="Segoe UI"/>
        </w:rPr>
      </w:pPr>
    </w:p>
    <w:p w:rsidR="00A8705D" w:rsidRPr="00E60B92" w:rsidRDefault="00A8705D" w:rsidP="00FF1C97">
      <w:pPr>
        <w:spacing w:after="0"/>
        <w:jc w:val="both"/>
        <w:rPr>
          <w:rFonts w:ascii="Segoe UI" w:hAnsi="Segoe UI" w:cs="Segoe UI"/>
        </w:rPr>
      </w:pPr>
    </w:p>
    <w:p w:rsidR="00F420B6" w:rsidRDefault="00E60B92" w:rsidP="00F420B6">
      <w:pPr>
        <w:spacing w:after="0"/>
        <w:jc w:val="both"/>
        <w:rPr>
          <w:rFonts w:ascii="Segoe UI" w:hAnsi="Segoe UI" w:cs="Segoe UI"/>
          <w:szCs w:val="24"/>
        </w:rPr>
      </w:pPr>
      <w:r w:rsidRPr="00F420B6">
        <w:rPr>
          <w:rFonts w:ascii="Segoe UI" w:hAnsi="Segoe UI" w:cs="Segoe UI"/>
          <w:b/>
          <w:szCs w:val="24"/>
        </w:rPr>
        <w:t>Cuadro General de Clasificación Archivística y Catálogo de Disposición Documental.-</w:t>
      </w:r>
      <w:r w:rsidR="00F420B6">
        <w:rPr>
          <w:rFonts w:ascii="Segoe UI" w:hAnsi="Segoe UI" w:cs="Segoe UI"/>
          <w:szCs w:val="24"/>
        </w:rPr>
        <w:t xml:space="preserve"> </w:t>
      </w:r>
      <w:r w:rsidR="00F420B6">
        <w:rPr>
          <w:rFonts w:ascii="Segoe UI" w:hAnsi="Segoe UI" w:cs="Segoe UI"/>
          <w:szCs w:val="24"/>
        </w:rPr>
        <w:t>La implementación de las comunicaciones a distancia a través de las plataformas de video conferencia, permitió avanzar en ciertos puntos en el desarrollo de estos instrumentos, ya que durante las primeras semanas de suspensión de actividades presenciales, limitaron el contacto con los titulares de área y enlaces de archivos.</w:t>
      </w:r>
    </w:p>
    <w:p w:rsidR="00F420B6" w:rsidRDefault="00F420B6" w:rsidP="00F420B6">
      <w:pPr>
        <w:spacing w:after="0"/>
        <w:jc w:val="both"/>
        <w:rPr>
          <w:rFonts w:ascii="Segoe UI" w:hAnsi="Segoe UI" w:cs="Segoe UI"/>
          <w:szCs w:val="24"/>
        </w:rPr>
      </w:pPr>
    </w:p>
    <w:p w:rsidR="00F420B6" w:rsidRDefault="00F420B6" w:rsidP="00F420B6">
      <w:pPr>
        <w:spacing w:after="0"/>
        <w:jc w:val="both"/>
        <w:rPr>
          <w:rFonts w:ascii="Segoe UI" w:hAnsi="Segoe UI" w:cs="Segoe UI"/>
          <w:szCs w:val="24"/>
        </w:rPr>
      </w:pPr>
      <w:r w:rsidRPr="00C7776A">
        <w:rPr>
          <w:rFonts w:ascii="Segoe UI" w:hAnsi="Segoe UI" w:cs="Segoe UI"/>
          <w:szCs w:val="24"/>
        </w:rPr>
        <w:t>A</w:t>
      </w:r>
      <w:r>
        <w:rPr>
          <w:rFonts w:ascii="Segoe UI" w:hAnsi="Segoe UI" w:cs="Segoe UI"/>
          <w:szCs w:val="24"/>
        </w:rPr>
        <w:t>l igual que en el proyecto anterior, es esencial que se tenga acceso al acervo documental para reconocer e identificar los procesos administrativos y funciones sustantivas que se ven reflejadas en la producción de documentos y la ordenación que se</w:t>
      </w:r>
      <w:r w:rsidR="007F741F">
        <w:rPr>
          <w:rFonts w:ascii="Segoe UI" w:hAnsi="Segoe UI" w:cs="Segoe UI"/>
          <w:szCs w:val="24"/>
        </w:rPr>
        <w:t xml:space="preserve"> le da en cada una de las áreas, para con ello, contrastar la información plasmada en la tabla de análisis.</w:t>
      </w:r>
      <w:r w:rsidR="007F741F">
        <w:rPr>
          <w:rStyle w:val="Refdenotaalpie"/>
          <w:rFonts w:ascii="Segoe UI" w:hAnsi="Segoe UI" w:cs="Segoe UI"/>
          <w:szCs w:val="24"/>
        </w:rPr>
        <w:footnoteReference w:id="2"/>
      </w:r>
      <w:r w:rsidR="007F741F">
        <w:rPr>
          <w:rFonts w:ascii="Segoe UI" w:hAnsi="Segoe UI" w:cs="Segoe UI"/>
          <w:szCs w:val="24"/>
        </w:rPr>
        <w:t xml:space="preserve"> </w:t>
      </w:r>
    </w:p>
    <w:p w:rsidR="00F420B6" w:rsidRDefault="00F420B6" w:rsidP="00F420B6">
      <w:pPr>
        <w:spacing w:after="0"/>
        <w:jc w:val="both"/>
        <w:rPr>
          <w:rFonts w:ascii="Segoe UI" w:hAnsi="Segoe UI" w:cs="Segoe UI"/>
          <w:szCs w:val="24"/>
        </w:rPr>
      </w:pPr>
    </w:p>
    <w:p w:rsidR="00A8705D" w:rsidRDefault="00A8705D" w:rsidP="00FF1C97">
      <w:pPr>
        <w:spacing w:after="0"/>
        <w:jc w:val="both"/>
        <w:rPr>
          <w:rFonts w:ascii="Segoe UI" w:hAnsi="Segoe UI" w:cs="Segoe UI"/>
          <w:szCs w:val="24"/>
        </w:rPr>
      </w:pPr>
    </w:p>
    <w:p w:rsidR="00E60B92" w:rsidRDefault="00E60B92" w:rsidP="00FF1C97">
      <w:pPr>
        <w:spacing w:after="0"/>
        <w:jc w:val="both"/>
        <w:rPr>
          <w:rFonts w:ascii="Segoe UI" w:hAnsi="Segoe UI" w:cs="Segoe UI"/>
          <w:szCs w:val="24"/>
        </w:rPr>
      </w:pPr>
    </w:p>
    <w:p w:rsidR="00E60B92" w:rsidRDefault="00E60B92" w:rsidP="00FF1C97">
      <w:pPr>
        <w:spacing w:after="0"/>
        <w:jc w:val="both"/>
        <w:rPr>
          <w:rFonts w:ascii="Segoe UI" w:hAnsi="Segoe UI" w:cs="Segoe UI"/>
          <w:szCs w:val="24"/>
        </w:rPr>
      </w:pPr>
    </w:p>
    <w:p w:rsidR="00E60B92" w:rsidRDefault="00E60B92" w:rsidP="00FF1C97">
      <w:pPr>
        <w:spacing w:after="0"/>
        <w:jc w:val="both"/>
        <w:rPr>
          <w:rFonts w:cstheme="minorHAnsi"/>
          <w:szCs w:val="24"/>
        </w:rPr>
      </w:pPr>
    </w:p>
    <w:p w:rsidR="00E60B92" w:rsidRDefault="00E60B92"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p w:rsidR="00A8705D" w:rsidRDefault="00A8705D" w:rsidP="00FF1C97">
      <w:pPr>
        <w:spacing w:after="0"/>
        <w:jc w:val="both"/>
      </w:pPr>
    </w:p>
    <w:sectPr w:rsidR="00A8705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C5" w:rsidRDefault="00053AC5" w:rsidP="00943934">
      <w:pPr>
        <w:spacing w:after="0" w:line="240" w:lineRule="auto"/>
      </w:pPr>
      <w:r>
        <w:separator/>
      </w:r>
    </w:p>
  </w:endnote>
  <w:endnote w:type="continuationSeparator" w:id="0">
    <w:p w:rsidR="00053AC5" w:rsidRDefault="00053AC5" w:rsidP="0094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EFE" w:rsidRPr="00135C08" w:rsidRDefault="00053AC5" w:rsidP="005E3C7C">
    <w:pPr>
      <w:pStyle w:val="Piedepgina"/>
      <w:tabs>
        <w:tab w:val="clear" w:pos="4419"/>
        <w:tab w:val="clear" w:pos="8838"/>
        <w:tab w:val="left" w:pos="2662"/>
      </w:tabs>
      <w:rPr>
        <w:rFonts w:ascii="Nirmala UI Semilight" w:hAnsi="Nirmala UI Semilight" w:cs="Nirmala UI Semilight"/>
        <w:color w:val="000000" w:themeColor="text1"/>
        <w:sz w:val="19"/>
        <w:szCs w:val="19"/>
      </w:rPr>
    </w:pPr>
    <w:sdt>
      <w:sdtPr>
        <w:rPr>
          <w:rFonts w:ascii="Nirmala UI Semilight" w:eastAsia="Arial Unicode MS" w:hAnsi="Nirmala UI Semilight" w:cs="Nirmala UI Semilight"/>
          <w:b/>
          <w:color w:val="0F243E" w:themeColor="text2" w:themeShade="80"/>
          <w:sz w:val="19"/>
          <w:szCs w:val="19"/>
        </w:rPr>
        <w:alias w:val="Autor"/>
        <w:id w:val="54214575"/>
        <w:placeholder>
          <w:docPart w:val="8E151E7DDCBC435CBF8D41DFD528E748"/>
        </w:placeholder>
        <w:dataBinding w:prefixMappings="xmlns:ns0='http://schemas.openxmlformats.org/package/2006/metadata/core-properties' xmlns:ns1='http://purl.org/dc/elements/1.1/'" w:xpath="/ns0:coreProperties[1]/ns1:creator[1]" w:storeItemID="{6C3C8BC8-F283-45AE-878A-BAB7291924A1}"/>
        <w:text/>
      </w:sdtPr>
      <w:sdtEndPr/>
      <w:sdtContent>
        <w:r w:rsidR="00D22EFE" w:rsidRPr="00135C08">
          <w:rPr>
            <w:rFonts w:ascii="Nirmala UI Semilight" w:eastAsia="Arial Unicode MS" w:hAnsi="Nirmala UI Semilight" w:cs="Nirmala UI Semilight"/>
            <w:b/>
            <w:color w:val="0F243E" w:themeColor="text2" w:themeShade="80"/>
            <w:sz w:val="19"/>
            <w:szCs w:val="19"/>
            <w:lang w:val="es-MX"/>
          </w:rPr>
          <w:t xml:space="preserve">Informe </w:t>
        </w:r>
        <w:r w:rsidR="005E3C7C" w:rsidRPr="00135C08">
          <w:rPr>
            <w:rFonts w:ascii="Nirmala UI Semilight" w:eastAsia="Arial Unicode MS" w:hAnsi="Nirmala UI Semilight" w:cs="Nirmala UI Semilight"/>
            <w:b/>
            <w:color w:val="0F243E" w:themeColor="text2" w:themeShade="80"/>
            <w:sz w:val="19"/>
            <w:szCs w:val="19"/>
            <w:lang w:val="es-MX"/>
          </w:rPr>
          <w:t xml:space="preserve">del </w:t>
        </w:r>
        <w:r w:rsidR="00D22EFE" w:rsidRPr="00135C08">
          <w:rPr>
            <w:rFonts w:ascii="Nirmala UI Semilight" w:eastAsia="Arial Unicode MS" w:hAnsi="Nirmala UI Semilight" w:cs="Nirmala UI Semilight"/>
            <w:b/>
            <w:color w:val="0F243E" w:themeColor="text2" w:themeShade="80"/>
            <w:sz w:val="19"/>
            <w:szCs w:val="19"/>
            <w:lang w:val="es-MX"/>
          </w:rPr>
          <w:t>P</w:t>
        </w:r>
        <w:r w:rsidR="005E3C7C" w:rsidRPr="00135C08">
          <w:rPr>
            <w:rFonts w:ascii="Nirmala UI Semilight" w:eastAsia="Arial Unicode MS" w:hAnsi="Nirmala UI Semilight" w:cs="Nirmala UI Semilight"/>
            <w:b/>
            <w:color w:val="0F243E" w:themeColor="text2" w:themeShade="80"/>
            <w:sz w:val="19"/>
            <w:szCs w:val="19"/>
            <w:lang w:val="es-MX"/>
          </w:rPr>
          <w:t xml:space="preserve">rograma </w:t>
        </w:r>
        <w:r w:rsidR="00D22EFE" w:rsidRPr="00135C08">
          <w:rPr>
            <w:rFonts w:ascii="Nirmala UI Semilight" w:eastAsia="Arial Unicode MS" w:hAnsi="Nirmala UI Semilight" w:cs="Nirmala UI Semilight"/>
            <w:b/>
            <w:color w:val="0F243E" w:themeColor="text2" w:themeShade="80"/>
            <w:sz w:val="19"/>
            <w:szCs w:val="19"/>
            <w:lang w:val="es-MX"/>
          </w:rPr>
          <w:t>A</w:t>
        </w:r>
        <w:r w:rsidR="005E3C7C" w:rsidRPr="00135C08">
          <w:rPr>
            <w:rFonts w:ascii="Nirmala UI Semilight" w:eastAsia="Arial Unicode MS" w:hAnsi="Nirmala UI Semilight" w:cs="Nirmala UI Semilight"/>
            <w:b/>
            <w:color w:val="0F243E" w:themeColor="text2" w:themeShade="80"/>
            <w:sz w:val="19"/>
            <w:szCs w:val="19"/>
            <w:lang w:val="es-MX"/>
          </w:rPr>
          <w:t xml:space="preserve">nual de Desarrollo </w:t>
        </w:r>
        <w:r w:rsidR="00D22EFE" w:rsidRPr="00135C08">
          <w:rPr>
            <w:rFonts w:ascii="Nirmala UI Semilight" w:eastAsia="Arial Unicode MS" w:hAnsi="Nirmala UI Semilight" w:cs="Nirmala UI Semilight"/>
            <w:b/>
            <w:color w:val="0F243E" w:themeColor="text2" w:themeShade="80"/>
            <w:sz w:val="19"/>
            <w:szCs w:val="19"/>
            <w:lang w:val="es-MX"/>
          </w:rPr>
          <w:t>A</w:t>
        </w:r>
        <w:r w:rsidR="005E3C7C" w:rsidRPr="00135C08">
          <w:rPr>
            <w:rFonts w:ascii="Nirmala UI Semilight" w:eastAsia="Arial Unicode MS" w:hAnsi="Nirmala UI Semilight" w:cs="Nirmala UI Semilight"/>
            <w:b/>
            <w:color w:val="0F243E" w:themeColor="text2" w:themeShade="80"/>
            <w:sz w:val="19"/>
            <w:szCs w:val="19"/>
            <w:lang w:val="es-MX"/>
          </w:rPr>
          <w:t>rchivístico</w:t>
        </w:r>
        <w:r w:rsidR="00D22EFE" w:rsidRPr="00135C08">
          <w:rPr>
            <w:rFonts w:ascii="Nirmala UI Semilight" w:eastAsia="Arial Unicode MS" w:hAnsi="Nirmala UI Semilight" w:cs="Nirmala UI Semilight"/>
            <w:b/>
            <w:color w:val="0F243E" w:themeColor="text2" w:themeShade="80"/>
            <w:sz w:val="19"/>
            <w:szCs w:val="19"/>
            <w:lang w:val="es-MX"/>
          </w:rPr>
          <w:t xml:space="preserve"> 2020</w:t>
        </w:r>
      </w:sdtContent>
    </w:sdt>
    <w:r w:rsidR="005E3C7C" w:rsidRPr="00135C08">
      <w:rPr>
        <w:rFonts w:ascii="Nirmala UI Semilight" w:eastAsia="Arial Unicode MS" w:hAnsi="Nirmala UI Semilight" w:cs="Nirmala UI Semilight"/>
        <w:b/>
        <w:color w:val="0F243E" w:themeColor="text2" w:themeShade="80"/>
        <w:sz w:val="19"/>
        <w:szCs w:val="19"/>
      </w:rPr>
      <w:tab/>
    </w:r>
  </w:p>
  <w:p w:rsidR="00D22EFE" w:rsidRDefault="00D22EFE">
    <w:pPr>
      <w:pStyle w:val="Piedepgina"/>
    </w:pPr>
    <w:r>
      <w:rPr>
        <w:noProof/>
        <w:lang w:val="es-MX" w:eastAsia="es-MX"/>
      </w:rPr>
      <mc:AlternateContent>
        <mc:Choice Requires="wps">
          <w:drawing>
            <wp:anchor distT="0" distB="0" distL="114300" distR="114300" simplePos="0" relativeHeight="251659264" behindDoc="0" locked="0" layoutInCell="1" allowOverlap="1" wp14:anchorId="2D191335" wp14:editId="3602922D">
              <wp:simplePos x="0" y="0"/>
              <wp:positionH relativeFrom="margin">
                <wp:align>right</wp:align>
              </wp:positionH>
              <wp:positionV relativeFrom="bottomMargin">
                <wp:align>top</wp:align>
              </wp:positionV>
              <wp:extent cx="1936750" cy="27622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936750" cy="276225"/>
                      </a:xfrm>
                      <a:prstGeom prst="rect">
                        <a:avLst/>
                      </a:prstGeom>
                      <a:noFill/>
                      <a:ln w="6350">
                        <a:noFill/>
                      </a:ln>
                      <a:effectLst/>
                    </wps:spPr>
                    <wps:txbx>
                      <w:txbxContent>
                        <w:p w:rsidR="00D22EFE" w:rsidRPr="00FF1C97" w:rsidRDefault="00D22EFE">
                          <w:pPr>
                            <w:pStyle w:val="Piedepgina"/>
                            <w:jc w:val="right"/>
                            <w:rPr>
                              <w:rFonts w:asciiTheme="majorHAnsi" w:hAnsiTheme="majorHAnsi"/>
                              <w:b/>
                              <w:color w:val="0F243E" w:themeColor="text2" w:themeShade="80"/>
                              <w:sz w:val="24"/>
                              <w:szCs w:val="40"/>
                            </w:rPr>
                          </w:pPr>
                          <w:r w:rsidRPr="00FF1C97">
                            <w:rPr>
                              <w:rFonts w:asciiTheme="majorHAnsi" w:hAnsiTheme="majorHAnsi"/>
                              <w:b/>
                              <w:color w:val="0F243E" w:themeColor="text2" w:themeShade="80"/>
                              <w:sz w:val="24"/>
                              <w:szCs w:val="40"/>
                            </w:rPr>
                            <w:fldChar w:fldCharType="begin"/>
                          </w:r>
                          <w:r w:rsidRPr="00FF1C97">
                            <w:rPr>
                              <w:rFonts w:asciiTheme="majorHAnsi" w:hAnsiTheme="majorHAnsi"/>
                              <w:b/>
                              <w:color w:val="0F243E" w:themeColor="text2" w:themeShade="80"/>
                              <w:sz w:val="24"/>
                              <w:szCs w:val="40"/>
                            </w:rPr>
                            <w:instrText>PAGE  \* Arabic  \* MERGEFORMAT</w:instrText>
                          </w:r>
                          <w:r w:rsidRPr="00FF1C97">
                            <w:rPr>
                              <w:rFonts w:asciiTheme="majorHAnsi" w:hAnsiTheme="majorHAnsi"/>
                              <w:b/>
                              <w:color w:val="0F243E" w:themeColor="text2" w:themeShade="80"/>
                              <w:sz w:val="24"/>
                              <w:szCs w:val="40"/>
                            </w:rPr>
                            <w:fldChar w:fldCharType="separate"/>
                          </w:r>
                          <w:r w:rsidR="00DC066E">
                            <w:rPr>
                              <w:rFonts w:asciiTheme="majorHAnsi" w:hAnsiTheme="majorHAnsi"/>
                              <w:b/>
                              <w:noProof/>
                              <w:color w:val="0F243E" w:themeColor="text2" w:themeShade="80"/>
                              <w:sz w:val="24"/>
                              <w:szCs w:val="40"/>
                            </w:rPr>
                            <w:t>4</w:t>
                          </w:r>
                          <w:r w:rsidRPr="00FF1C97">
                            <w:rPr>
                              <w:rFonts w:asciiTheme="majorHAnsi" w:hAnsiTheme="majorHAnsi"/>
                              <w:b/>
                              <w:color w:val="0F243E" w:themeColor="text2" w:themeShade="80"/>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26" type="#_x0000_t202" style="position:absolute;margin-left:101.3pt;margin-top:0;width:152.5pt;height:21.7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" filled="f" stroked="f" strokeweight=".5pt">
              <v:textbox style="mso-fit-shape-to-text:t">
                <w:txbxContent>
                  <w:p w:rsidR="00D22EFE" w:rsidRPr="00FF1C97" w:rsidRDefault="00D22EFE">
                    <w:pPr>
                      <w:pStyle w:val="Piedepgina"/>
                      <w:jc w:val="right"/>
                      <w:rPr>
                        <w:rFonts w:asciiTheme="majorHAnsi" w:hAnsiTheme="majorHAnsi"/>
                        <w:b/>
                        <w:color w:val="0F243E" w:themeColor="text2" w:themeShade="80"/>
                        <w:sz w:val="24"/>
                        <w:szCs w:val="40"/>
                      </w:rPr>
                    </w:pPr>
                    <w:r w:rsidRPr="00FF1C97">
                      <w:rPr>
                        <w:rFonts w:asciiTheme="majorHAnsi" w:hAnsiTheme="majorHAnsi"/>
                        <w:b/>
                        <w:color w:val="0F243E" w:themeColor="text2" w:themeShade="80"/>
                        <w:sz w:val="24"/>
                        <w:szCs w:val="40"/>
                      </w:rPr>
                      <w:fldChar w:fldCharType="begin"/>
                    </w:r>
                    <w:r w:rsidRPr="00FF1C97">
                      <w:rPr>
                        <w:rFonts w:asciiTheme="majorHAnsi" w:hAnsiTheme="majorHAnsi"/>
                        <w:b/>
                        <w:color w:val="0F243E" w:themeColor="text2" w:themeShade="80"/>
                        <w:sz w:val="24"/>
                        <w:szCs w:val="40"/>
                      </w:rPr>
                      <w:instrText>PAGE  \* Arabic  \* MERGEFORMAT</w:instrText>
                    </w:r>
                    <w:r w:rsidRPr="00FF1C97">
                      <w:rPr>
                        <w:rFonts w:asciiTheme="majorHAnsi" w:hAnsiTheme="majorHAnsi"/>
                        <w:b/>
                        <w:color w:val="0F243E" w:themeColor="text2" w:themeShade="80"/>
                        <w:sz w:val="24"/>
                        <w:szCs w:val="40"/>
                      </w:rPr>
                      <w:fldChar w:fldCharType="separate"/>
                    </w:r>
                    <w:r w:rsidR="00DC066E">
                      <w:rPr>
                        <w:rFonts w:asciiTheme="majorHAnsi" w:hAnsiTheme="majorHAnsi"/>
                        <w:b/>
                        <w:noProof/>
                        <w:color w:val="0F243E" w:themeColor="text2" w:themeShade="80"/>
                        <w:sz w:val="24"/>
                        <w:szCs w:val="40"/>
                      </w:rPr>
                      <w:t>4</w:t>
                    </w:r>
                    <w:r w:rsidRPr="00FF1C97">
                      <w:rPr>
                        <w:rFonts w:asciiTheme="majorHAnsi" w:hAnsiTheme="majorHAnsi"/>
                        <w:b/>
                        <w:color w:val="0F243E" w:themeColor="text2" w:themeShade="80"/>
                        <w:sz w:val="24"/>
                        <w:szCs w:val="40"/>
                      </w:rPr>
                      <w:fldChar w:fldCharType="end"/>
                    </w:r>
                  </w:p>
                </w:txbxContent>
              </v:textbox>
              <w10:wrap anchorx="margin" anchory="margin"/>
            </v:shape>
          </w:pict>
        </mc:Fallback>
      </mc:AlternateContent>
    </w:r>
    <w:r>
      <w:rPr>
        <w:noProof/>
        <w:color w:val="4F81BD" w:themeColor="accent1"/>
        <w:lang w:val="es-MX" w:eastAsia="es-MX"/>
      </w:rPr>
      <mc:AlternateContent>
        <mc:Choice Requires="wps">
          <w:drawing>
            <wp:anchor distT="91440" distB="91440" distL="114300" distR="114300" simplePos="0" relativeHeight="251660288" behindDoc="1" locked="0" layoutInCell="1" allowOverlap="1" wp14:anchorId="1BAE8B7C" wp14:editId="1229E44C">
              <wp:simplePos x="0" y="0"/>
              <wp:positionH relativeFrom="margin">
                <wp:align>center</wp:align>
              </wp:positionH>
              <wp:positionV relativeFrom="bottomMargin">
                <wp:align>top</wp:align>
              </wp:positionV>
              <wp:extent cx="5943600" cy="36195"/>
              <wp:effectExtent l="0" t="0" r="0" b="0"/>
              <wp:wrapSquare wrapText="bothSides"/>
              <wp:docPr id="58" name="Rectángu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ángulo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PZyS+6wEAABUEAAAOAAAAAAAAAAAAAAAAAC4CAABkcnMvZTJvRG9jLnhtbFBL&#10;AQItABQABgAIAAAAIQC7vFZz2QAAAAMBAAAPAAAAAAAAAAAAAAAAAEUEAABkcnMvZG93bnJldi54&#10;bWxQSwUGAAAAAAQABADzAAAASw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C5" w:rsidRDefault="00053AC5" w:rsidP="00943934">
      <w:pPr>
        <w:spacing w:after="0" w:line="240" w:lineRule="auto"/>
      </w:pPr>
      <w:r>
        <w:separator/>
      </w:r>
    </w:p>
  </w:footnote>
  <w:footnote w:type="continuationSeparator" w:id="0">
    <w:p w:rsidR="00053AC5" w:rsidRDefault="00053AC5" w:rsidP="00943934">
      <w:pPr>
        <w:spacing w:after="0" w:line="240" w:lineRule="auto"/>
      </w:pPr>
      <w:r>
        <w:continuationSeparator/>
      </w:r>
    </w:p>
  </w:footnote>
  <w:footnote w:id="1">
    <w:p w:rsidR="00F420B6" w:rsidRPr="00F420B6" w:rsidRDefault="00F420B6" w:rsidP="00F420B6">
      <w:pPr>
        <w:pStyle w:val="Textonotapie"/>
        <w:jc w:val="both"/>
        <w:rPr>
          <w:sz w:val="18"/>
          <w:lang w:val="es-MX"/>
        </w:rPr>
      </w:pPr>
      <w:r w:rsidRPr="00F420B6">
        <w:rPr>
          <w:rStyle w:val="Refdenotaalpie"/>
          <w:sz w:val="18"/>
        </w:rPr>
        <w:footnoteRef/>
      </w:r>
      <w:r w:rsidRPr="00F420B6">
        <w:rPr>
          <w:sz w:val="18"/>
        </w:rPr>
        <w:t xml:space="preserve"> </w:t>
      </w:r>
      <w:r w:rsidRPr="00F420B6">
        <w:rPr>
          <w:sz w:val="18"/>
          <w:lang w:val="es-MX"/>
        </w:rPr>
        <w:t>Se contempla en un proyecto a futuro la digitalizaci</w:t>
      </w:r>
      <w:r w:rsidR="00DC066E">
        <w:rPr>
          <w:sz w:val="18"/>
          <w:lang w:val="es-MX"/>
        </w:rPr>
        <w:t>ón de la c</w:t>
      </w:r>
      <w:bookmarkStart w:id="0" w:name="_GoBack"/>
      <w:bookmarkEnd w:id="0"/>
      <w:r w:rsidR="00DC066E">
        <w:rPr>
          <w:sz w:val="18"/>
          <w:lang w:val="es-MX"/>
        </w:rPr>
        <w:t>olección fotográfica</w:t>
      </w:r>
      <w:r w:rsidRPr="00F420B6">
        <w:rPr>
          <w:sz w:val="18"/>
          <w:lang w:val="es-MX"/>
        </w:rPr>
        <w:t>.</w:t>
      </w:r>
    </w:p>
  </w:footnote>
  <w:footnote w:id="2">
    <w:p w:rsidR="007F741F" w:rsidRPr="007F741F" w:rsidRDefault="007F741F" w:rsidP="007F741F">
      <w:pPr>
        <w:pStyle w:val="Textonotapie"/>
        <w:jc w:val="both"/>
        <w:rPr>
          <w:lang w:val="es-MX"/>
        </w:rPr>
      </w:pPr>
      <w:r>
        <w:rPr>
          <w:rStyle w:val="Refdenotaalpie"/>
        </w:rPr>
        <w:footnoteRef/>
      </w:r>
      <w:r>
        <w:t xml:space="preserve"> </w:t>
      </w:r>
      <w:r>
        <w:rPr>
          <w:lang w:val="es-MX"/>
        </w:rPr>
        <w:t>Herramienta utilizada para recopilar información sobre las series documentales producidas en cada unidad administrativa, en la que se plasmó, entre otros datos, la denominación de la serie, su descripción, tipos documentales que la integran, valores y plazos de conservación.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7C" w:rsidRDefault="005E3C7C">
    <w:pPr>
      <w:pStyle w:val="Encabezado"/>
    </w:pPr>
    <w:r w:rsidRPr="007701E1">
      <w:rPr>
        <w:rFonts w:ascii="Tahoma" w:eastAsia="Times New Roman" w:hAnsi="Tahoma" w:cs="Tahoma"/>
        <w:noProof/>
        <w:sz w:val="21"/>
        <w:szCs w:val="21"/>
        <w:lang w:val="es-MX" w:eastAsia="es-MX"/>
      </w:rPr>
      <w:drawing>
        <wp:anchor distT="0" distB="0" distL="114300" distR="114300" simplePos="0" relativeHeight="251662336" behindDoc="0" locked="0" layoutInCell="1" allowOverlap="1" wp14:anchorId="51791A03" wp14:editId="2DE7B50A">
          <wp:simplePos x="0" y="0"/>
          <wp:positionH relativeFrom="column">
            <wp:posOffset>-62526</wp:posOffset>
          </wp:positionH>
          <wp:positionV relativeFrom="paragraph">
            <wp:posOffset>-75122</wp:posOffset>
          </wp:positionV>
          <wp:extent cx="1414130" cy="54111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130" cy="54111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34"/>
    <w:rsid w:val="00053AC5"/>
    <w:rsid w:val="00135C08"/>
    <w:rsid w:val="002301C4"/>
    <w:rsid w:val="0027251B"/>
    <w:rsid w:val="00291FC4"/>
    <w:rsid w:val="002B40CD"/>
    <w:rsid w:val="002F2C65"/>
    <w:rsid w:val="003427A7"/>
    <w:rsid w:val="0045240A"/>
    <w:rsid w:val="005406FB"/>
    <w:rsid w:val="005C1211"/>
    <w:rsid w:val="005E3C7C"/>
    <w:rsid w:val="006751A6"/>
    <w:rsid w:val="006917CC"/>
    <w:rsid w:val="00716E8D"/>
    <w:rsid w:val="00724E66"/>
    <w:rsid w:val="007B0BAF"/>
    <w:rsid w:val="007C2F45"/>
    <w:rsid w:val="007F741F"/>
    <w:rsid w:val="008A2F44"/>
    <w:rsid w:val="00943934"/>
    <w:rsid w:val="00963812"/>
    <w:rsid w:val="009A4881"/>
    <w:rsid w:val="009B0376"/>
    <w:rsid w:val="00A3032A"/>
    <w:rsid w:val="00A8705D"/>
    <w:rsid w:val="00AA0A4D"/>
    <w:rsid w:val="00AB0D82"/>
    <w:rsid w:val="00AB7B07"/>
    <w:rsid w:val="00B01A5C"/>
    <w:rsid w:val="00B02BB1"/>
    <w:rsid w:val="00C54FDB"/>
    <w:rsid w:val="00CC3FD7"/>
    <w:rsid w:val="00D22EFE"/>
    <w:rsid w:val="00D456AA"/>
    <w:rsid w:val="00DC066E"/>
    <w:rsid w:val="00E33A67"/>
    <w:rsid w:val="00E36D28"/>
    <w:rsid w:val="00E60B92"/>
    <w:rsid w:val="00F069C6"/>
    <w:rsid w:val="00F420B6"/>
    <w:rsid w:val="00FF1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39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3934"/>
    <w:rPr>
      <w:lang w:val="es-ES"/>
    </w:rPr>
  </w:style>
  <w:style w:type="paragraph" w:styleId="Piedepgina">
    <w:name w:val="footer"/>
    <w:basedOn w:val="Normal"/>
    <w:link w:val="PiedepginaCar"/>
    <w:uiPriority w:val="99"/>
    <w:unhideWhenUsed/>
    <w:rsid w:val="009439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934"/>
    <w:rPr>
      <w:lang w:val="es-ES"/>
    </w:rPr>
  </w:style>
  <w:style w:type="paragraph" w:styleId="Textodeglobo">
    <w:name w:val="Balloon Text"/>
    <w:basedOn w:val="Normal"/>
    <w:link w:val="TextodegloboCar"/>
    <w:uiPriority w:val="99"/>
    <w:semiHidden/>
    <w:unhideWhenUsed/>
    <w:rsid w:val="009439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934"/>
    <w:rPr>
      <w:rFonts w:ascii="Tahoma" w:hAnsi="Tahoma" w:cs="Tahoma"/>
      <w:sz w:val="16"/>
      <w:szCs w:val="16"/>
      <w:lang w:val="es-ES"/>
    </w:rPr>
  </w:style>
  <w:style w:type="table" w:styleId="Cuadrculaclara-nfasis5">
    <w:name w:val="Light Grid Accent 5"/>
    <w:basedOn w:val="Tablanormal"/>
    <w:uiPriority w:val="62"/>
    <w:rsid w:val="00716E8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3CBD5A742C28424DA5172AD252E32316">
    <w:name w:val="3CBD5A742C28424DA5172AD252E32316"/>
    <w:rsid w:val="00D22EFE"/>
    <w:rPr>
      <w:rFonts w:eastAsiaTheme="minorEastAsia"/>
      <w:lang w:eastAsia="es-MX"/>
    </w:rPr>
  </w:style>
  <w:style w:type="table" w:styleId="Tablaconcuadrcula">
    <w:name w:val="Table Grid"/>
    <w:basedOn w:val="Tablanormal"/>
    <w:uiPriority w:val="59"/>
    <w:rsid w:val="00FF1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0B92"/>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F420B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20B6"/>
    <w:rPr>
      <w:sz w:val="20"/>
      <w:szCs w:val="20"/>
      <w:lang w:val="es-ES"/>
    </w:rPr>
  </w:style>
  <w:style w:type="character" w:styleId="Refdenotaalpie">
    <w:name w:val="footnote reference"/>
    <w:basedOn w:val="Fuentedeprrafopredeter"/>
    <w:uiPriority w:val="99"/>
    <w:semiHidden/>
    <w:unhideWhenUsed/>
    <w:rsid w:val="00F420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39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3934"/>
    <w:rPr>
      <w:lang w:val="es-ES"/>
    </w:rPr>
  </w:style>
  <w:style w:type="paragraph" w:styleId="Piedepgina">
    <w:name w:val="footer"/>
    <w:basedOn w:val="Normal"/>
    <w:link w:val="PiedepginaCar"/>
    <w:uiPriority w:val="99"/>
    <w:unhideWhenUsed/>
    <w:rsid w:val="009439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934"/>
    <w:rPr>
      <w:lang w:val="es-ES"/>
    </w:rPr>
  </w:style>
  <w:style w:type="paragraph" w:styleId="Textodeglobo">
    <w:name w:val="Balloon Text"/>
    <w:basedOn w:val="Normal"/>
    <w:link w:val="TextodegloboCar"/>
    <w:uiPriority w:val="99"/>
    <w:semiHidden/>
    <w:unhideWhenUsed/>
    <w:rsid w:val="009439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934"/>
    <w:rPr>
      <w:rFonts w:ascii="Tahoma" w:hAnsi="Tahoma" w:cs="Tahoma"/>
      <w:sz w:val="16"/>
      <w:szCs w:val="16"/>
      <w:lang w:val="es-ES"/>
    </w:rPr>
  </w:style>
  <w:style w:type="table" w:styleId="Cuadrculaclara-nfasis5">
    <w:name w:val="Light Grid Accent 5"/>
    <w:basedOn w:val="Tablanormal"/>
    <w:uiPriority w:val="62"/>
    <w:rsid w:val="00716E8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3CBD5A742C28424DA5172AD252E32316">
    <w:name w:val="3CBD5A742C28424DA5172AD252E32316"/>
    <w:rsid w:val="00D22EFE"/>
    <w:rPr>
      <w:rFonts w:eastAsiaTheme="minorEastAsia"/>
      <w:lang w:eastAsia="es-MX"/>
    </w:rPr>
  </w:style>
  <w:style w:type="table" w:styleId="Tablaconcuadrcula">
    <w:name w:val="Table Grid"/>
    <w:basedOn w:val="Tablanormal"/>
    <w:uiPriority w:val="59"/>
    <w:rsid w:val="00FF1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0B92"/>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F420B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20B6"/>
    <w:rPr>
      <w:sz w:val="20"/>
      <w:szCs w:val="20"/>
      <w:lang w:val="es-ES"/>
    </w:rPr>
  </w:style>
  <w:style w:type="character" w:styleId="Refdenotaalpie">
    <w:name w:val="footnote reference"/>
    <w:basedOn w:val="Fuentedeprrafopredeter"/>
    <w:uiPriority w:val="99"/>
    <w:semiHidden/>
    <w:unhideWhenUsed/>
    <w:rsid w:val="00F420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151E7DDCBC435CBF8D41DFD528E748"/>
        <w:category>
          <w:name w:val="General"/>
          <w:gallery w:val="placeholder"/>
        </w:category>
        <w:types>
          <w:type w:val="bbPlcHdr"/>
        </w:types>
        <w:behaviors>
          <w:behavior w:val="content"/>
        </w:behaviors>
        <w:guid w:val="{7D87CE44-B7E9-4636-8A75-6F1E47CD1C9F}"/>
      </w:docPartPr>
      <w:docPartBody>
        <w:p w:rsidR="00D36C8E" w:rsidRDefault="00F6360B" w:rsidP="00F6360B">
          <w:pPr>
            <w:pStyle w:val="8E151E7DDCBC435CBF8D41DFD528E748"/>
          </w:pPr>
          <w:r>
            <w:rPr>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0B"/>
    <w:rsid w:val="007A65CA"/>
    <w:rsid w:val="00C87272"/>
    <w:rsid w:val="00D36C8E"/>
    <w:rsid w:val="00F6360B"/>
    <w:rsid w:val="00FA3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2B120EBB9F34BDE9CFD49AA1327397E">
    <w:name w:val="62B120EBB9F34BDE9CFD49AA1327397E"/>
    <w:rsid w:val="00F6360B"/>
  </w:style>
  <w:style w:type="paragraph" w:customStyle="1" w:styleId="DD13673DCB8B43A6808392E70CF5AEBB">
    <w:name w:val="DD13673DCB8B43A6808392E70CF5AEBB"/>
    <w:rsid w:val="00F6360B"/>
  </w:style>
  <w:style w:type="paragraph" w:customStyle="1" w:styleId="8E151E7DDCBC435CBF8D41DFD528E748">
    <w:name w:val="8E151E7DDCBC435CBF8D41DFD528E748"/>
    <w:rsid w:val="00F636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2B120EBB9F34BDE9CFD49AA1327397E">
    <w:name w:val="62B120EBB9F34BDE9CFD49AA1327397E"/>
    <w:rsid w:val="00F6360B"/>
  </w:style>
  <w:style w:type="paragraph" w:customStyle="1" w:styleId="DD13673DCB8B43A6808392E70CF5AEBB">
    <w:name w:val="DD13673DCB8B43A6808392E70CF5AEBB"/>
    <w:rsid w:val="00F6360B"/>
  </w:style>
  <w:style w:type="paragraph" w:customStyle="1" w:styleId="8E151E7DDCBC435CBF8D41DFD528E748">
    <w:name w:val="8E151E7DDCBC435CBF8D41DFD528E748"/>
    <w:rsid w:val="00F63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56362-9204-4557-AE06-935254C5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7</Pages>
  <Words>1160</Words>
  <Characters>6380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Informe del Programa Anual de Desarrollo Archivístico 2020</dc:creator>
  <cp:lastModifiedBy>Archivo_Coord</cp:lastModifiedBy>
  <cp:revision>5</cp:revision>
  <cp:lastPrinted>2021-01-22T20:39:00Z</cp:lastPrinted>
  <dcterms:created xsi:type="dcterms:W3CDTF">2021-01-12T20:26:00Z</dcterms:created>
  <dcterms:modified xsi:type="dcterms:W3CDTF">2021-01-24T15:17:00Z</dcterms:modified>
</cp:coreProperties>
</file>