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4.75pt;height:131.950pt;mso-position-horizontal-relative:char;mso-position-vertical-relative:line" coordorigin="0,0" coordsize="8495,2639">
            <v:rect style="position:absolute;left:0;top:0;width:8492;height:663" filled="true" fillcolor="#ffffff" stroked="false">
              <v:fill type="solid"/>
            </v:rect>
            <v:rect style="position:absolute;left:55;top:68;width:8437;height:352" filled="true" fillcolor="#ffffff" stroked="false">
              <v:fill type="solid"/>
            </v:rect>
            <v:rect style="position:absolute;left:24;top:85;width:2466;height:430" filled="true" fillcolor="#ffffff" stroked="false">
              <v:fill type="solid"/>
            </v:rect>
            <v:shape style="position:absolute;left:2552;top:94;width:5942;height:1522" type="#_x0000_t75" stroked="false">
              <v:imagedata r:id="rId5" o:title=""/>
            </v:shape>
            <v:shape style="position:absolute;left:19;top:96;width:2363;height:240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495;height:26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before="1"/>
                      <w:ind w:left="2760" w:right="21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Fundado el 14 de Enero de 1877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2760" w:right="2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Registrado en la Administración de Correos el 1o. de Marzo de 1924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4.6pt;height:1pt;mso-position-horizontal-relative:char;mso-position-vertical-relative:line" coordorigin="0,0" coordsize="8492,20">
            <v:line style="position:absolute" from="0,10" to="8492,10" stroked="true" strokeweight="1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9640" w:h="13040"/>
          <w:pgMar w:top="500" w:bottom="280" w:left="460" w:right="460"/>
        </w:sectPr>
      </w:pPr>
    </w:p>
    <w:p>
      <w:pPr>
        <w:pStyle w:val="Heading1"/>
        <w:spacing w:line="249" w:lineRule="auto" w:before="20"/>
        <w:ind w:left="157" w:right="5"/>
      </w:pPr>
      <w:r>
        <w:rPr/>
        <w:pict>
          <v:line style="position:absolute;mso-position-horizontal-relative:page;mso-position-vertical-relative:paragraph;z-index:-251854848" from="155.732697pt,-30.410303pt" to="453.382697pt,-30.410303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53824" from="155.882706pt,-55.160301pt" to="453.532706pt,-55.160301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AÑO CVII TOMO CLVIII</w:t>
      </w:r>
    </w:p>
    <w:p>
      <w:pPr>
        <w:tabs>
          <w:tab w:pos="5289" w:val="left" w:leader="none"/>
        </w:tabs>
        <w:spacing w:before="118"/>
        <w:ind w:left="158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position w:val="1"/>
          <w:sz w:val="18"/>
        </w:rPr>
        <w:t>GUANAJUATO, GTO., A 4 DE </w:t>
      </w:r>
      <w:r>
        <w:rPr>
          <w:b/>
          <w:color w:val="231F20"/>
          <w:spacing w:val="-5"/>
          <w:position w:val="1"/>
          <w:sz w:val="18"/>
        </w:rPr>
        <w:t>MAYO</w:t>
      </w:r>
      <w:r>
        <w:rPr>
          <w:b/>
          <w:color w:val="231F20"/>
          <w:spacing w:val="-33"/>
          <w:position w:val="1"/>
          <w:sz w:val="18"/>
        </w:rPr>
        <w:t> </w:t>
      </w:r>
      <w:r>
        <w:rPr>
          <w:b/>
          <w:color w:val="231F20"/>
          <w:position w:val="1"/>
          <w:sz w:val="18"/>
        </w:rPr>
        <w:t>DEL</w:t>
      </w:r>
      <w:r>
        <w:rPr>
          <w:b/>
          <w:color w:val="231F20"/>
          <w:spacing w:val="-6"/>
          <w:position w:val="1"/>
          <w:sz w:val="18"/>
        </w:rPr>
        <w:t> </w:t>
      </w:r>
      <w:r>
        <w:rPr>
          <w:b/>
          <w:color w:val="231F20"/>
          <w:position w:val="1"/>
          <w:sz w:val="18"/>
        </w:rPr>
        <w:t>2020</w:t>
        <w:tab/>
      </w:r>
      <w:r>
        <w:rPr>
          <w:b/>
          <w:color w:val="231F20"/>
          <w:sz w:val="18"/>
        </w:rPr>
        <w:t>NUMERO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89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1"/>
        <w:ind w:left="274" w:right="2536" w:firstLine="0"/>
        <w:jc w:val="center"/>
        <w:rPr>
          <w:b/>
          <w:sz w:val="32"/>
        </w:rPr>
      </w:pPr>
      <w:r>
        <w:rPr/>
        <w:pict>
          <v:line style="position:absolute;mso-position-horizontal-relative:page;mso-position-vertical-relative:paragraph;z-index:251662336" from="29.191299pt,-5.240576pt" to="453.791299pt,-5.24057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5408" from="28.65pt,22.109425pt" to="453.25pt,22.109425pt" stroked="true" strokeweight="1pt" strokecolor="#231f20">
            <v:stroke dashstyle="solid"/>
            <w10:wrap type="none"/>
          </v:line>
        </w:pict>
      </w:r>
      <w:r>
        <w:rPr>
          <w:b/>
          <w:color w:val="231F20"/>
          <w:sz w:val="32"/>
        </w:rPr>
        <w:t>S E G U N D A P A R T</w:t>
      </w:r>
      <w:r>
        <w:rPr>
          <w:b/>
          <w:color w:val="231F20"/>
          <w:spacing w:val="-58"/>
          <w:sz w:val="32"/>
        </w:rPr>
        <w:t> </w:t>
      </w:r>
      <w:r>
        <w:rPr>
          <w:b/>
          <w:color w:val="231F20"/>
          <w:sz w:val="32"/>
        </w:rPr>
        <w:t>E</w:t>
      </w:r>
    </w:p>
    <w:p>
      <w:pPr>
        <w:pStyle w:val="BodyText"/>
        <w:spacing w:before="9"/>
        <w:rPr>
          <w:b/>
          <w:sz w:val="33"/>
        </w:rPr>
      </w:pPr>
    </w:p>
    <w:p>
      <w:pPr>
        <w:spacing w:before="1"/>
        <w:ind w:left="274" w:right="2536" w:firstLine="0"/>
        <w:jc w:val="center"/>
        <w:rPr>
          <w:b/>
          <w:sz w:val="28"/>
        </w:rPr>
      </w:pPr>
      <w:r>
        <w:rPr>
          <w:b/>
          <w:color w:val="231F20"/>
          <w:sz w:val="28"/>
        </w:rPr>
        <w:t>S U M A R I O :</w:t>
      </w:r>
    </w:p>
    <w:p>
      <w:pPr>
        <w:spacing w:after="0"/>
        <w:jc w:val="center"/>
        <w:rPr>
          <w:sz w:val="28"/>
        </w:rPr>
        <w:sectPr>
          <w:type w:val="continuous"/>
          <w:pgSz w:w="9640" w:h="13040"/>
          <w:pgMar w:top="500" w:bottom="280" w:left="460" w:right="460"/>
          <w:cols w:num="2" w:equalWidth="0">
            <w:col w:w="1282" w:space="983"/>
            <w:col w:w="6455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29.75pt;margin-top:26.75485pt;width:422.45pt;height:10.45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tabs>
                      <w:tab w:pos="3461" w:val="left" w:leader="none"/>
                      <w:tab w:pos="7568" w:val="left" w:leader="none"/>
                    </w:tabs>
                    <w:spacing w:line="208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PERIODICO OFICIAL</w:t>
                    <w:tab/>
                  </w:r>
                  <w:r>
                    <w:rPr>
                      <w:b/>
                      <w:color w:val="231F20"/>
                      <w:position w:val="1"/>
                      <w:sz w:val="18"/>
                    </w:rPr>
                    <w:t>4 DE </w:t>
                  </w:r>
                  <w:r>
                    <w:rPr>
                      <w:b/>
                      <w:color w:val="231F20"/>
                      <w:spacing w:val="-5"/>
                      <w:position w:val="1"/>
                      <w:sz w:val="18"/>
                    </w:rPr>
                    <w:t>MAYO</w:t>
                  </w:r>
                  <w:r>
                    <w:rPr>
                      <w:b/>
                      <w:color w:val="231F20"/>
                      <w:spacing w:val="-3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position w:val="1"/>
                      <w:sz w:val="18"/>
                    </w:rPr>
                    <w:t>- 2020</w:t>
                    <w:tab/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PAGINA</w:t>
                  </w:r>
                  <w:r>
                    <w:rPr>
                      <w:b/>
                      <w:color w:val="231F20"/>
                      <w:spacing w:val="4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pacing w:val="-15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b/>
        </w:rPr>
      </w:pPr>
    </w:p>
    <w:p>
      <w:pPr>
        <w:pStyle w:val="Heading1"/>
        <w:spacing w:before="0"/>
        <w:ind w:left="1146"/>
      </w:pPr>
      <w:r>
        <w:rPr>
          <w:color w:val="231F20"/>
        </w:rPr>
        <w:t>SECRETARÍA DE FINANZAS, INVERSIÓN Y ADMINISTRACIÓN</w:t>
      </w:r>
    </w:p>
    <w:p>
      <w:pPr>
        <w:pStyle w:val="BodyText"/>
        <w:rPr>
          <w:b/>
        </w:rPr>
      </w:pPr>
    </w:p>
    <w:p>
      <w:pPr>
        <w:pStyle w:val="BodyText"/>
        <w:spacing w:line="295" w:lineRule="auto" w:before="95"/>
        <w:ind w:left="103" w:right="1237"/>
        <w:jc w:val="both"/>
      </w:pPr>
      <w:r>
        <w:rPr>
          <w:color w:val="231F20"/>
        </w:rPr>
        <w:t>ACUERDO de la Secretaría de Finanzas, Inversión y Administración del Estado de Guanajuato mediante el cual se reforman el penúltimo párrafo del Artículo Cuarto y el último párrafo del Artículo Octavo, de las Disposiciones Generales para el Programa de Canje de Placas</w:t>
      </w:r>
      <w:r>
        <w:rPr>
          <w:color w:val="231F20"/>
          <w:spacing w:val="-12"/>
        </w:rPr>
        <w:t> </w:t>
      </w:r>
      <w:r>
        <w:rPr>
          <w:color w:val="231F20"/>
        </w:rPr>
        <w:t>Metálicas</w:t>
      </w:r>
      <w:r>
        <w:rPr>
          <w:color w:val="231F20"/>
          <w:spacing w:val="-12"/>
        </w:rPr>
        <w:t> </w:t>
      </w:r>
      <w:r>
        <w:rPr>
          <w:color w:val="231F20"/>
        </w:rPr>
        <w:t>2020,</w:t>
      </w:r>
      <w:r>
        <w:rPr>
          <w:color w:val="231F20"/>
          <w:spacing w:val="-12"/>
        </w:rPr>
        <w:t> </w:t>
      </w:r>
      <w:r>
        <w:rPr>
          <w:color w:val="231F20"/>
        </w:rPr>
        <w:t>publicadas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Periódico</w:t>
      </w:r>
      <w:r>
        <w:rPr>
          <w:color w:val="231F20"/>
          <w:spacing w:val="-12"/>
        </w:rPr>
        <w:t> </w:t>
      </w:r>
      <w:r>
        <w:rPr>
          <w:color w:val="231F20"/>
        </w:rPr>
        <w:t>Oficial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Gobierno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</w:rPr>
        <w:t>número</w:t>
      </w:r>
      <w:r>
        <w:rPr>
          <w:color w:val="231F20"/>
          <w:spacing w:val="-11"/>
        </w:rPr>
        <w:t> </w:t>
      </w:r>
      <w:r>
        <w:rPr>
          <w:color w:val="231F20"/>
        </w:rPr>
        <w:t>23,</w:t>
      </w:r>
    </w:p>
    <w:p>
      <w:pPr>
        <w:pStyle w:val="BodyText"/>
        <w:tabs>
          <w:tab w:pos="7437" w:val="left" w:leader="none"/>
          <w:tab w:pos="8087" w:val="right" w:leader="none"/>
        </w:tabs>
        <w:spacing w:line="205" w:lineRule="exact"/>
        <w:ind w:left="103"/>
        <w:jc w:val="both"/>
        <w:rPr>
          <w:b/>
        </w:rPr>
      </w:pPr>
      <w:r>
        <w:rPr/>
        <w:pict>
          <v:line style="position:absolute;mso-position-horizontal-relative:page;mso-position-vertical-relative:paragraph;z-index:-251851776" from="192.543701pt,8.003734pt" to="192.543701pt,8.00373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50752" from="396.360687pt,8.003734pt" to="396.360687pt,8.003734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segunda parte, del 31 de enero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2020.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b/>
          <w:color w:val="231F20"/>
        </w:rPr>
        <w:t>3</w:t>
      </w:r>
    </w:p>
    <w:p>
      <w:pPr>
        <w:pStyle w:val="Heading1"/>
        <w:spacing w:line="295" w:lineRule="auto" w:before="301"/>
        <w:ind w:left="2417" w:right="2725" w:hanging="442"/>
      </w:pPr>
      <w:r>
        <w:rPr>
          <w:color w:val="231F20"/>
        </w:rPr>
        <w:t>TRIBUNAL DE JUSTICIA ADMINISTRATIVA DEL ESTADO DE GUANAJUATO</w:t>
      </w:r>
    </w:p>
    <w:p>
      <w:pPr>
        <w:pStyle w:val="BodyText"/>
        <w:spacing w:line="295" w:lineRule="auto" w:before="252"/>
        <w:ind w:left="103" w:right="992"/>
      </w:pPr>
      <w:r>
        <w:rPr>
          <w:color w:val="231F20"/>
        </w:rPr>
        <w:t>ACUERDO del Pleno del Tribunal de Justicia Administrativa del Estado de Guanajuato mediante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cual</w:t>
      </w:r>
      <w:r>
        <w:rPr>
          <w:color w:val="231F20"/>
          <w:spacing w:val="-14"/>
        </w:rPr>
        <w:t> </w:t>
      </w:r>
      <w:r>
        <w:rPr>
          <w:color w:val="231F20"/>
        </w:rPr>
        <w:t>determina</w:t>
      </w:r>
      <w:r>
        <w:rPr>
          <w:color w:val="231F20"/>
          <w:spacing w:val="-15"/>
        </w:rPr>
        <w:t> </w:t>
      </w:r>
      <w:r>
        <w:rPr>
          <w:color w:val="231F20"/>
        </w:rPr>
        <w:t>extender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suspensión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actividades</w:t>
      </w:r>
      <w:r>
        <w:rPr>
          <w:color w:val="231F20"/>
          <w:spacing w:val="-15"/>
        </w:rPr>
        <w:t> </w:t>
      </w:r>
      <w:r>
        <w:rPr>
          <w:color w:val="231F20"/>
        </w:rPr>
        <w:t>ordinarias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Tribunal</w:t>
      </w:r>
    </w:p>
    <w:p>
      <w:pPr>
        <w:pStyle w:val="BodyText"/>
        <w:tabs>
          <w:tab w:pos="7436" w:val="left" w:leader="none"/>
          <w:tab w:pos="8087" w:val="right" w:leader="none"/>
        </w:tabs>
        <w:spacing w:line="206" w:lineRule="exact"/>
        <w:ind w:left="103"/>
        <w:rPr>
          <w:b/>
        </w:rPr>
      </w:pPr>
      <w:r>
        <w:rPr/>
        <w:pict>
          <v:line style="position:absolute;mso-position-horizontal-relative:page;mso-position-vertical-relative:paragraph;z-index:-251849728" from="239.815399pt,7.797053pt" to="239.815399pt,7.79705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48704" from="396.360413pt,7.797053pt" to="396.360413pt,7.797053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de Justicia Administrativa del Estado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Guanajuato.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b/>
          <w:color w:val="231F20"/>
        </w:rPr>
        <w:t>6</w:t>
      </w:r>
    </w:p>
    <w:p>
      <w:pPr>
        <w:pStyle w:val="BodyText"/>
        <w:spacing w:line="295" w:lineRule="auto" w:before="301"/>
        <w:ind w:left="103" w:right="1237"/>
        <w:jc w:val="both"/>
      </w:pPr>
      <w:r>
        <w:rPr/>
        <w:pict>
          <v:group style="position:absolute;margin-left:158.449997pt;margin-top:19.158789pt;width:238.45pt;height:1pt;mso-position-horizontal-relative:page;mso-position-vertical-relative:paragraph;z-index:-251847680" coordorigin="3169,383" coordsize="4769,20">
            <v:line style="position:absolute" from="3229,393" to="7907,393" stroked="true" strokeweight="1pt" strokecolor="#231f20">
              <v:stroke dashstyle="dot"/>
            </v:line>
            <v:shape style="position:absolute;left:0;top:4011;width:4769;height:2" coordorigin="0,4012" coordsize="4769,0" path="m3169,393l3169,393m7937,393l7937,393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ACUERDO del Consejo Administrativo del Tribunal de Justicia Administrativa del Estado de Guanajuato y el Órgano Interno de Control por el que se amplía y suspenden los plazos a 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refiere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</w:rPr>
        <w:t>33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Ley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Responsabilidades</w:t>
      </w:r>
      <w:r>
        <w:rPr>
          <w:color w:val="231F20"/>
          <w:spacing w:val="-21"/>
        </w:rPr>
        <w:t> </w:t>
      </w:r>
      <w:r>
        <w:rPr>
          <w:color w:val="231F20"/>
        </w:rPr>
        <w:t>Administrativas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</w:rPr>
        <w:t>de Guanajuato, y en general se difieren aquellos que derivan de los procedimientos a cargo del Órgano Interno de Control del Tribunal de Justicia Administrativa del Estado de Guanajuato, con</w:t>
      </w:r>
      <w:r>
        <w:rPr>
          <w:color w:val="231F20"/>
          <w:spacing w:val="12"/>
        </w:rPr>
        <w:t> </w:t>
      </w:r>
      <w:r>
        <w:rPr>
          <w:color w:val="231F20"/>
        </w:rPr>
        <w:t>motivo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las</w:t>
      </w:r>
      <w:r>
        <w:rPr>
          <w:color w:val="231F20"/>
          <w:spacing w:val="12"/>
        </w:rPr>
        <w:t> </w:t>
      </w:r>
      <w:r>
        <w:rPr>
          <w:color w:val="231F20"/>
        </w:rPr>
        <w:t>medidas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prevención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contención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propagación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virus</w:t>
      </w:r>
      <w:r>
        <w:rPr>
          <w:color w:val="231F20"/>
          <w:spacing w:val="13"/>
        </w:rPr>
        <w:t> </w:t>
      </w:r>
      <w:r>
        <w:rPr>
          <w:color w:val="231F20"/>
        </w:rPr>
        <w:t>SARS-</w:t>
      </w:r>
    </w:p>
    <w:p>
      <w:pPr>
        <w:pStyle w:val="BodyText"/>
        <w:tabs>
          <w:tab w:pos="7437" w:val="left" w:leader="none"/>
        </w:tabs>
        <w:spacing w:line="203" w:lineRule="exact"/>
        <w:ind w:left="103"/>
        <w:jc w:val="both"/>
        <w:rPr>
          <w:b/>
        </w:rPr>
      </w:pPr>
      <w:r>
        <w:rPr/>
        <w:pict>
          <v:line style="position:absolute;mso-position-horizontal-relative:page;mso-position-vertical-relative:paragraph;z-index:-251846656" from="210.236206pt,7.847774pt" to="210.236206pt,7.84777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45632" from="396.360199pt,7.847774pt" to="396.360199pt,7.847774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CoV2, que genera la</w:t>
      </w:r>
      <w:r>
        <w:rPr>
          <w:color w:val="231F20"/>
          <w:spacing w:val="-21"/>
        </w:rPr>
        <w:t> </w:t>
      </w:r>
      <w:r>
        <w:rPr>
          <w:color w:val="231F20"/>
        </w:rPr>
        <w:t>enfermedad</w:t>
      </w:r>
      <w:r>
        <w:rPr>
          <w:color w:val="231F20"/>
          <w:spacing w:val="-5"/>
        </w:rPr>
        <w:t> </w:t>
      </w:r>
      <w:r>
        <w:rPr>
          <w:color w:val="231F20"/>
        </w:rPr>
        <w:t>COVID-19.</w:t>
      </w:r>
      <w:r>
        <w:rPr>
          <w:color w:val="231F20"/>
          <w:u w:val="dotted" w:color="231F20"/>
        </w:rPr>
        <w:t> </w:t>
        <w:tab/>
      </w:r>
      <w:r>
        <w:rPr>
          <w:b/>
          <w:color w:val="231F20"/>
        </w:rPr>
        <w:t>9</w:t>
      </w:r>
    </w:p>
    <w:p>
      <w:pPr>
        <w:pStyle w:val="BodyText"/>
        <w:spacing w:line="295" w:lineRule="auto" w:before="301"/>
        <w:ind w:left="103" w:right="992"/>
      </w:pPr>
      <w:r>
        <w:rPr>
          <w:color w:val="231F20"/>
        </w:rPr>
        <w:t>ACUERDO del Consejo Administrativo del Tribunal de Justicia Administrativa del Estado de Guanajuato mediante el cual establece el sistema de guardias derivado de la suspensión de</w:t>
      </w:r>
    </w:p>
    <w:p>
      <w:pPr>
        <w:pStyle w:val="BodyText"/>
        <w:tabs>
          <w:tab w:pos="7437" w:val="left" w:leader="none"/>
          <w:tab w:pos="8137" w:val="right" w:leader="none"/>
        </w:tabs>
        <w:spacing w:line="206" w:lineRule="exact"/>
        <w:ind w:left="103"/>
        <w:rPr>
          <w:b/>
        </w:rPr>
      </w:pPr>
      <w:r>
        <w:rPr/>
        <w:pict>
          <v:line style="position:absolute;mso-position-horizontal-relative:page;mso-position-vertical-relative:paragraph;z-index:-251844608" from="158.610596pt,7.689059pt" to="158.610596pt,7.68905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43584" from="396.360596pt,7.689059pt" to="396.360596pt,7.689059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actuaciones</w:t>
      </w:r>
      <w:r>
        <w:rPr>
          <w:color w:val="231F20"/>
          <w:spacing w:val="-1"/>
        </w:rPr>
        <w:t> </w:t>
      </w:r>
      <w:r>
        <w:rPr>
          <w:color w:val="231F20"/>
        </w:rPr>
        <w:t>jurisdiccionales.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b/>
          <w:color w:val="231F20"/>
        </w:rPr>
        <w:t>12</w:t>
      </w:r>
    </w:p>
    <w:p>
      <w:pPr>
        <w:spacing w:after="0" w:line="206" w:lineRule="exact"/>
        <w:sectPr>
          <w:type w:val="continuous"/>
          <w:pgSz w:w="9640" w:h="13040"/>
          <w:pgMar w:top="500" w:bottom="280" w:left="460" w:right="460"/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1"/>
        </w:rPr>
      </w:pPr>
    </w:p>
    <w:p>
      <w:pPr>
        <w:pStyle w:val="Heading1"/>
        <w:spacing w:before="94"/>
        <w:ind w:left="1146"/>
      </w:pPr>
      <w:r>
        <w:rPr>
          <w:color w:val="231F20"/>
        </w:rPr>
        <w:t>SECRETARÍA DE DESARROLLO ECONÓMICO SUSTENTABLE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95" w:lineRule="auto"/>
        <w:ind w:left="112" w:right="1228"/>
        <w:jc w:val="both"/>
      </w:pPr>
      <w:r>
        <w:rPr>
          <w:color w:val="231F20"/>
        </w:rPr>
        <w:t>REGLAS de Operación del Programa </w:t>
      </w:r>
      <w:r>
        <w:rPr>
          <w:color w:val="231F20"/>
          <w:spacing w:val="-4"/>
        </w:rPr>
        <w:t>"Vale </w:t>
      </w:r>
      <w:r>
        <w:rPr>
          <w:color w:val="231F20"/>
        </w:rPr>
        <w:t>Grandeza-Compra Local", para el Ejercicio Fiscal 2020, así como sus anexos 1 "Formato Solicitud de Apoyo", 2 "Acuerdo de Suma    de</w:t>
      </w:r>
      <w:r>
        <w:rPr>
          <w:color w:val="231F20"/>
          <w:spacing w:val="8"/>
        </w:rPr>
        <w:t> </w:t>
      </w:r>
      <w:r>
        <w:rPr>
          <w:color w:val="231F20"/>
        </w:rPr>
        <w:t>Voluntades"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3</w:t>
      </w:r>
      <w:r>
        <w:rPr>
          <w:color w:val="231F20"/>
          <w:spacing w:val="9"/>
        </w:rPr>
        <w:t> </w:t>
      </w:r>
      <w:r>
        <w:rPr>
          <w:color w:val="231F20"/>
        </w:rPr>
        <w:t>"Comité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9"/>
        </w:rPr>
        <w:t> </w:t>
      </w:r>
      <w:r>
        <w:rPr>
          <w:color w:val="231F20"/>
        </w:rPr>
        <w:t>Programa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"Vale</w:t>
      </w:r>
      <w:r>
        <w:rPr>
          <w:color w:val="231F20"/>
          <w:spacing w:val="9"/>
        </w:rPr>
        <w:t> </w:t>
      </w:r>
      <w:r>
        <w:rPr>
          <w:color w:val="231F20"/>
        </w:rPr>
        <w:t>Grandeza-Compra</w:t>
      </w:r>
      <w:r>
        <w:rPr>
          <w:color w:val="231F20"/>
          <w:spacing w:val="9"/>
        </w:rPr>
        <w:t> </w:t>
      </w:r>
      <w:r>
        <w:rPr>
          <w:color w:val="231F20"/>
        </w:rPr>
        <w:t>Local",</w:t>
      </w:r>
      <w:r>
        <w:rPr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Ejercicio</w:t>
      </w:r>
    </w:p>
    <w:p>
      <w:pPr>
        <w:pStyle w:val="BodyText"/>
        <w:tabs>
          <w:tab w:pos="7445" w:val="left" w:leader="none"/>
        </w:tabs>
        <w:spacing w:line="205" w:lineRule="exact"/>
        <w:ind w:left="112"/>
        <w:jc w:val="both"/>
        <w:rPr>
          <w:b/>
        </w:rPr>
      </w:pPr>
      <w:r>
        <w:rPr/>
        <w:pict>
          <v:line style="position:absolute;mso-position-horizontal-relative:page;mso-position-vertical-relative:paragraph;z-index:-251841536" from="332.872406pt,7.550747pt" to="332.872406pt,7.55074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40512" from="396.819397pt,7.550747pt" to="396.819397pt,7.550747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Fiscal 2020"; que emite la Secretaría de Desarrollo</w:t>
      </w:r>
      <w:r>
        <w:rPr>
          <w:color w:val="231F20"/>
          <w:spacing w:val="-22"/>
        </w:rPr>
        <w:t> </w:t>
      </w:r>
      <w:r>
        <w:rPr>
          <w:color w:val="231F20"/>
        </w:rPr>
        <w:t>Económico</w:t>
      </w:r>
      <w:r>
        <w:rPr>
          <w:color w:val="231F20"/>
          <w:spacing w:val="-2"/>
        </w:rPr>
        <w:t> </w:t>
      </w:r>
      <w:r>
        <w:rPr>
          <w:color w:val="231F20"/>
        </w:rPr>
        <w:t>Sustentable.</w:t>
      </w:r>
      <w:r>
        <w:rPr>
          <w:color w:val="231F20"/>
          <w:u w:val="dotted" w:color="231F20"/>
        </w:rPr>
        <w:t> </w:t>
        <w:tab/>
      </w:r>
      <w:r>
        <w:rPr>
          <w:b/>
          <w:color w:val="231F20"/>
        </w:rPr>
        <w:t>15</w:t>
      </w:r>
    </w:p>
    <w:p>
      <w:pPr>
        <w:spacing w:after="0" w:line="205" w:lineRule="exact"/>
        <w:jc w:val="both"/>
        <w:sectPr>
          <w:headerReference w:type="default" r:id="rId7"/>
          <w:pgSz w:w="9640" w:h="13040"/>
          <w:pgMar w:header="536" w:footer="0" w:top="740" w:bottom="280" w:left="460" w:right="46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1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432451</wp:posOffset>
            </wp:positionH>
            <wp:positionV relativeFrom="paragraph">
              <wp:posOffset>207220</wp:posOffset>
            </wp:positionV>
            <wp:extent cx="5168645" cy="6843522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645" cy="6843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4"/>
        </w:rPr>
        <w:sectPr>
          <w:headerReference w:type="default" r:id="rId8"/>
          <w:pgSz w:w="9640" w:h="13040"/>
          <w:pgMar w:header="536" w:footer="0" w:top="740" w:bottom="280" w:left="460" w:right="46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5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380570</wp:posOffset>
            </wp:positionH>
            <wp:positionV relativeFrom="paragraph">
              <wp:posOffset>181522</wp:posOffset>
            </wp:positionV>
            <wp:extent cx="5297995" cy="6637686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995" cy="663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headerReference w:type="default" r:id="rId10"/>
          <w:pgSz w:w="9640" w:h="13040"/>
          <w:pgMar w:header="535" w:footer="0" w:top="740" w:bottom="280" w:left="460" w:right="46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5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422939</wp:posOffset>
            </wp:positionH>
            <wp:positionV relativeFrom="paragraph">
              <wp:posOffset>166713</wp:posOffset>
            </wp:positionV>
            <wp:extent cx="5171313" cy="5176647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313" cy="5176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2"/>
      <w:pgSz w:w="9640" w:h="13040"/>
      <w:pgMar w:header="536" w:footer="0" w:top="7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59968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46.05pt;height:12.1pt;mso-position-horizontal-relative:page;mso-position-vertical-relative:page;z-index:-251858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PAGINA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173904pt;margin-top:26.00485pt;width:78.7pt;height:12.1pt;mso-position-horizontal-relative:page;mso-position-vertical-relative:page;z-index:-251857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4 DE MAYO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251856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55872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51.05pt;height:12.1pt;mso-position-horizontal-relative:page;mso-position-vertical-relative:page;z-index:-251854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PAGINA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173904pt;margin-top:26.00485pt;width:78.7pt;height:12.1pt;mso-position-horizontal-relative:page;mso-position-vertical-relative:page;z-index:-251853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4 DE MAYO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251852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51776" from="28.65pt,39.734013pt" to="453.25pt,39.734013pt" stroked="true" strokeweight=".668pt" strokecolor="#231f20">
          <v:stroke dashstyle="solid"/>
          <w10:wrap type="none"/>
        </v:line>
      </w:pict>
    </w:r>
    <w:r>
      <w:rPr/>
      <w:pict>
        <v:shape style="position:absolute;margin-left:28.75pt;margin-top:26.00485pt;width:91.05pt;height:12.1pt;mso-position-horizontal-relative:page;mso-position-vertical-relative:page;z-index:-251850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1.848907pt;margin-top:25.75485pt;width:78.7pt;height:12.1pt;mso-position-horizontal-relative:page;mso-position-vertical-relative:page;z-index:-251849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4 DE MAYO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187714pt;margin-top:26.104752pt;width:51.05pt;height:12.1pt;mso-position-horizontal-relative:page;mso-position-vertical-relative:page;z-index:-251848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PAGINA 13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47680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51.05pt;height:12.1pt;mso-position-horizontal-relative:page;mso-position-vertical-relative:page;z-index:-2518466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PAGINA 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173904pt;margin-top:26.00485pt;width:78.7pt;height:12.1pt;mso-position-horizontal-relative:page;mso-position-vertical-relative:page;z-index:-251845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4 DE MAYO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251844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b/>
      <w:bCs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3.png"/><Relationship Id="rId10" Type="http://schemas.openxmlformats.org/officeDocument/2006/relationships/header" Target="header3.xml"/><Relationship Id="rId11" Type="http://schemas.openxmlformats.org/officeDocument/2006/relationships/image" Target="media/image4.png"/><Relationship Id="rId12" Type="http://schemas.openxmlformats.org/officeDocument/2006/relationships/header" Target="header4.xml"/><Relationship Id="rId13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2020-05-06T15:45:07Z</dcterms:created>
  <dcterms:modified xsi:type="dcterms:W3CDTF">2020-05-06T15:45:07Z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2020-05-06T00:00:00Z</vt:filetime>
  </property>
</Properties>
</file>