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1"/>
        <w:ind w:right="198"/>
      </w:pPr>
      <w:r>
        <w:rPr/>
        <w:t>REGLAMENTO DE LA ESPECIALIDAD EN JUSTICIA ADMINISTRATIVA Y DE LA MAESTRÍA EN JUSTICIA ADMINISTRATIVA</w:t>
      </w:r>
    </w:p>
    <w:p>
      <w:pPr>
        <w:pStyle w:val="BodyText"/>
        <w:rPr>
          <w:b/>
        </w:rPr>
      </w:pPr>
    </w:p>
    <w:p>
      <w:pPr>
        <w:pStyle w:val="BodyText"/>
        <w:ind w:left="210" w:right="198"/>
        <w:jc w:val="center"/>
      </w:pPr>
      <w:r>
        <w:rPr/>
        <w:t>Periódico Oficial del Gobierno del Estado de Guanajuato</w:t>
      </w:r>
    </w:p>
    <w:p>
      <w:pPr>
        <w:pStyle w:val="BodyText"/>
        <w:spacing w:before="5"/>
      </w:pPr>
    </w:p>
    <w:tbl>
      <w:tblPr>
        <w:tblW w:w="0" w:type="auto"/>
        <w:jc w:val="left"/>
        <w:tblInd w:w="247" w:type="dxa"/>
        <w:tblBorders>
          <w:top w:val="single" w:sz="8" w:space="0" w:color="D4CFC8"/>
          <w:left w:val="single" w:sz="8" w:space="0" w:color="D4CFC8"/>
          <w:bottom w:val="single" w:sz="8" w:space="0" w:color="D4CFC8"/>
          <w:right w:val="single" w:sz="8" w:space="0" w:color="D4CFC8"/>
          <w:insideH w:val="single" w:sz="8" w:space="0" w:color="D4CFC8"/>
          <w:insideV w:val="single" w:sz="8" w:space="0" w:color="D4CFC8"/>
        </w:tblBorders>
        <w:tblLayout w:type="fixed"/>
        <w:tblCellMar>
          <w:top w:w="0" w:type="dxa"/>
          <w:left w:w="0" w:type="dxa"/>
          <w:bottom w:w="0" w:type="dxa"/>
          <w:right w:w="0" w:type="dxa"/>
        </w:tblCellMar>
        <w:tblLook w:val="01E0"/>
      </w:tblPr>
      <w:tblGrid>
        <w:gridCol w:w="2030"/>
        <w:gridCol w:w="5385"/>
        <w:gridCol w:w="1228"/>
      </w:tblGrid>
      <w:tr>
        <w:trPr>
          <w:trHeight w:val="553" w:hRule="atLeast"/>
        </w:trPr>
        <w:tc>
          <w:tcPr>
            <w:tcW w:w="2030" w:type="dxa"/>
          </w:tcPr>
          <w:p>
            <w:pPr>
              <w:pStyle w:val="TableParagraph"/>
              <w:ind w:right="3" w:firstLine="225"/>
              <w:rPr>
                <w:sz w:val="24"/>
              </w:rPr>
            </w:pPr>
            <w:r>
              <w:rPr>
                <w:sz w:val="24"/>
              </w:rPr>
              <w:t>Año CII Tomo CLIII</w:t>
            </w:r>
          </w:p>
        </w:tc>
        <w:tc>
          <w:tcPr>
            <w:tcW w:w="5385" w:type="dxa"/>
          </w:tcPr>
          <w:p>
            <w:pPr>
              <w:pStyle w:val="TableParagraph"/>
              <w:spacing w:line="240" w:lineRule="auto" w:before="134"/>
              <w:ind w:left="470" w:firstLine="0"/>
              <w:rPr>
                <w:sz w:val="24"/>
              </w:rPr>
            </w:pPr>
            <w:r>
              <w:rPr>
                <w:sz w:val="24"/>
              </w:rPr>
              <w:t>Guanajuato, Gto., a 2 de febrero del 2016</w:t>
            </w:r>
          </w:p>
        </w:tc>
        <w:tc>
          <w:tcPr>
            <w:tcW w:w="1228" w:type="dxa"/>
          </w:tcPr>
          <w:p>
            <w:pPr>
              <w:pStyle w:val="TableParagraph"/>
              <w:ind w:left="480" w:right="147"/>
              <w:rPr>
                <w:sz w:val="24"/>
              </w:rPr>
            </w:pPr>
            <w:r>
              <w:rPr>
                <w:sz w:val="24"/>
              </w:rPr>
              <w:t>Número 19</w:t>
            </w:r>
          </w:p>
        </w:tc>
      </w:tr>
    </w:tbl>
    <w:p>
      <w:pPr>
        <w:pStyle w:val="BodyText"/>
        <w:spacing w:before="7"/>
        <w:rPr>
          <w:sz w:val="23"/>
        </w:rPr>
      </w:pPr>
    </w:p>
    <w:p>
      <w:pPr>
        <w:pStyle w:val="BodyText"/>
        <w:ind w:left="210" w:right="193"/>
        <w:jc w:val="center"/>
      </w:pPr>
      <w:r>
        <w:rPr/>
        <w:t>Segunda Parte</w:t>
      </w:r>
    </w:p>
    <w:p>
      <w:pPr>
        <w:pStyle w:val="BodyText"/>
      </w:pPr>
    </w:p>
    <w:p>
      <w:pPr>
        <w:pStyle w:val="BodyText"/>
        <w:ind w:left="210" w:right="197"/>
        <w:jc w:val="center"/>
      </w:pPr>
      <w:r>
        <w:rPr/>
        <w:t>Tribunal de lo Contencioso Administrativo del Estado de Guanajuato</w:t>
      </w:r>
    </w:p>
    <w:p>
      <w:pPr>
        <w:pStyle w:val="BodyText"/>
        <w:spacing w:before="1"/>
        <w:rPr>
          <w:sz w:val="20"/>
        </w:rPr>
      </w:pPr>
      <w:r>
        <w:rPr/>
        <w:pict>
          <v:group style="position:absolute;margin-left:89.400002pt;margin-top:14.029637pt;width:433.2pt;height:53.65pt;mso-position-horizontal-relative:page;mso-position-vertical-relative:paragraph;z-index:-251656192;mso-wrap-distance-left:0;mso-wrap-distance-right:0" coordorigin="1788,281" coordsize="8664,1073">
            <v:line style="position:absolute" from="1807,290" to="8880,290" stroked="true" strokeweight=".96pt" strokecolor="#d4cfc8">
              <v:stroke dashstyle="solid"/>
            </v:line>
            <v:line style="position:absolute" from="8899,290" to="10433,290" stroked="true" strokeweight=".96pt" strokecolor="#d4cfc8">
              <v:stroke dashstyle="solid"/>
            </v:line>
            <v:line style="position:absolute" from="1807,1344" to="8880,1344" stroked="true" strokeweight=".96pt" strokecolor="#d4cfc8">
              <v:stroke dashstyle="solid"/>
            </v:line>
            <v:line style="position:absolute" from="8890,281" to="8890,1353" stroked="true" strokeweight=".96pt" strokecolor="#d4cfc8">
              <v:stroke dashstyle="solid"/>
            </v:line>
            <v:line style="position:absolute" from="8899,1344" to="10433,1344" stroked="true" strokeweight=".96pt" strokecolor="#d4cfc8">
              <v:stroke dashstyle="solid"/>
            </v:line>
            <v:line style="position:absolute" from="10442,281" to="10442,1353" stroked="true" strokeweight=".96pt" strokecolor="#d4cfc8">
              <v:stroke dashstyle="solid"/>
            </v:line>
            <v:shapetype id="_x0000_t202" o:spt="202" coordsize="21600,21600" path="m,l,21600r21600,l21600,xe">
              <v:stroke joinstyle="miter"/>
              <v:path gradientshapeok="t" o:connecttype="rect"/>
            </v:shapetype>
            <v:shape style="position:absolute;left:9597;top:682;width:154;height:269" type="#_x0000_t202" filled="false" stroked="false">
              <v:textbox inset="0,0,0,0">
                <w:txbxContent>
                  <w:p>
                    <w:pPr>
                      <w:spacing w:line="268" w:lineRule="exact" w:before="0"/>
                      <w:ind w:left="0" w:right="0" w:firstLine="0"/>
                      <w:jc w:val="left"/>
                      <w:rPr>
                        <w:sz w:val="24"/>
                      </w:rPr>
                    </w:pPr>
                    <w:r>
                      <w:rPr>
                        <w:sz w:val="24"/>
                      </w:rPr>
                      <w:t>5</w:t>
                    </w:r>
                  </w:p>
                </w:txbxContent>
              </v:textbox>
              <w10:wrap type="none"/>
            </v:shape>
            <v:shape style="position:absolute;left:1797;top:290;width:7092;height:1054" type="#_x0000_t202" filled="false" stroked="true" strokeweight=".96pt" strokecolor="#d4cfc8">
              <v:textbox inset="0,0,0,0">
                <w:txbxContent>
                  <w:p>
                    <w:pPr>
                      <w:spacing w:line="240" w:lineRule="auto" w:before="5"/>
                      <w:rPr>
                        <w:sz w:val="20"/>
                      </w:rPr>
                    </w:pPr>
                  </w:p>
                  <w:p>
                    <w:pPr>
                      <w:spacing w:before="0"/>
                      <w:ind w:left="60" w:right="0" w:firstLine="0"/>
                      <w:jc w:val="left"/>
                      <w:rPr>
                        <w:b/>
                        <w:sz w:val="24"/>
                      </w:rPr>
                    </w:pPr>
                    <w:r>
                      <w:rPr>
                        <w:b/>
                        <w:sz w:val="24"/>
                      </w:rPr>
                      <w:t>Reglamento de la Especialidad en Justicia Administrativa y de la Maestría en Justicia Administrativa</w:t>
                    </w:r>
                  </w:p>
                </w:txbxContent>
              </v:textbox>
              <v:stroke dashstyle="solid"/>
              <w10:wrap type="none"/>
            </v:shape>
            <w10:wrap type="topAndBottom"/>
          </v:group>
        </w:pict>
      </w:r>
    </w:p>
    <w:p>
      <w:pPr>
        <w:pStyle w:val="BodyText"/>
        <w:rPr>
          <w:sz w:val="20"/>
        </w:rPr>
      </w:pPr>
    </w:p>
    <w:p>
      <w:pPr>
        <w:pStyle w:val="BodyText"/>
        <w:rPr>
          <w:sz w:val="20"/>
        </w:rPr>
      </w:pPr>
    </w:p>
    <w:p>
      <w:pPr>
        <w:pStyle w:val="BodyText"/>
        <w:spacing w:before="8"/>
        <w:rPr>
          <w:sz w:val="17"/>
        </w:rPr>
      </w:pPr>
    </w:p>
    <w:p>
      <w:pPr>
        <w:pStyle w:val="BodyText"/>
        <w:spacing w:line="276" w:lineRule="auto" w:before="92"/>
        <w:ind w:left="141" w:right="120"/>
        <w:jc w:val="both"/>
      </w:pPr>
      <w:r>
        <w:rPr>
          <w:b/>
        </w:rPr>
        <w:t>ARTURO LARA MARTÍNEZ, Magistrado Presidente </w:t>
      </w:r>
      <w:r>
        <w:rPr/>
        <w:t>del Tribunal de lo Contencioso Administrativo del Estado de Guanajuato, con fundamento en los artículos18 fracción XIV 19 fracción IV, 22 fracción IV y 34 de la Ley Orgánica del Tribunal de lo Contencioso Administrativo del Estado de Guanajuato; 11 fracción VII, 43 y 44 fracciones II y III del Reglamento Interior del Tribunal de lo Contencioso Administrativo del Estado de Guanajuato tiene a bien expedir el siguiente:</w:t>
      </w:r>
    </w:p>
    <w:p>
      <w:pPr>
        <w:pStyle w:val="BodyText"/>
        <w:spacing w:before="8"/>
        <w:rPr>
          <w:sz w:val="20"/>
        </w:rPr>
      </w:pPr>
    </w:p>
    <w:p>
      <w:pPr>
        <w:pStyle w:val="Heading1"/>
        <w:spacing w:before="1"/>
        <w:ind w:right="198"/>
      </w:pPr>
      <w:r>
        <w:rPr/>
        <w:t>REGLAMENTO DE LA ESPECIALIDAD EN JUSTICIA ADMINISTRATIVA Y DE LA MAESTRÍA EN JUSTICIA ADMINISTRATIVA</w:t>
      </w:r>
    </w:p>
    <w:p>
      <w:pPr>
        <w:pStyle w:val="BodyText"/>
        <w:rPr>
          <w:b/>
          <w:sz w:val="21"/>
        </w:rPr>
      </w:pPr>
    </w:p>
    <w:p>
      <w:pPr>
        <w:spacing w:before="1"/>
        <w:ind w:left="210" w:right="197" w:firstLine="0"/>
        <w:jc w:val="center"/>
        <w:rPr>
          <w:b/>
          <w:sz w:val="24"/>
        </w:rPr>
      </w:pPr>
      <w:r>
        <w:rPr>
          <w:b/>
          <w:sz w:val="24"/>
        </w:rPr>
        <w:t>CAPÍTULO I</w:t>
      </w:r>
    </w:p>
    <w:p>
      <w:pPr>
        <w:pStyle w:val="BodyText"/>
        <w:spacing w:before="4"/>
        <w:rPr>
          <w:b/>
        </w:rPr>
      </w:pPr>
    </w:p>
    <w:p>
      <w:pPr>
        <w:spacing w:before="0"/>
        <w:ind w:left="210" w:right="193" w:firstLine="0"/>
        <w:jc w:val="center"/>
        <w:rPr>
          <w:b/>
          <w:sz w:val="24"/>
        </w:rPr>
      </w:pPr>
      <w:r>
        <w:rPr>
          <w:b/>
          <w:sz w:val="24"/>
        </w:rPr>
        <w:t>Disposiciones Generales</w:t>
      </w:r>
    </w:p>
    <w:p>
      <w:pPr>
        <w:pStyle w:val="BodyText"/>
        <w:spacing w:before="5"/>
        <w:rPr>
          <w:b/>
        </w:rPr>
      </w:pPr>
    </w:p>
    <w:p>
      <w:pPr>
        <w:pStyle w:val="BodyText"/>
        <w:spacing w:line="276" w:lineRule="auto"/>
        <w:ind w:left="141" w:right="118"/>
        <w:jc w:val="both"/>
      </w:pPr>
      <w:r>
        <w:rPr>
          <w:b/>
        </w:rPr>
        <w:t>Artículo 1.- </w:t>
      </w:r>
      <w:r>
        <w:rPr/>
        <w:t>El presente Reglamento tiene por objeto establecer las normas para la planeación, coordinación, organización, operación y desarrollo de las actividades académicas de la Especialidad en Justicia Administrativa y de la Maestría en Justicia Administrativa impartidas por el Instituto de la Justicia Administrativa.</w:t>
      </w:r>
    </w:p>
    <w:p>
      <w:pPr>
        <w:pStyle w:val="BodyText"/>
        <w:spacing w:before="10"/>
        <w:rPr>
          <w:sz w:val="20"/>
        </w:rPr>
      </w:pPr>
    </w:p>
    <w:p>
      <w:pPr>
        <w:pStyle w:val="BodyText"/>
        <w:ind w:left="141"/>
        <w:jc w:val="both"/>
      </w:pPr>
      <w:r>
        <w:rPr>
          <w:b/>
        </w:rPr>
        <w:t>Artículo 2.- </w:t>
      </w:r>
      <w:r>
        <w:rPr/>
        <w:t>Para efectos del presente ordenamiento, se entenderá por:</w:t>
      </w:r>
    </w:p>
    <w:p>
      <w:pPr>
        <w:pStyle w:val="BodyText"/>
        <w:spacing w:before="5"/>
      </w:pPr>
    </w:p>
    <w:p>
      <w:pPr>
        <w:pStyle w:val="ListParagraph"/>
        <w:numPr>
          <w:ilvl w:val="0"/>
          <w:numId w:val="1"/>
        </w:numPr>
        <w:tabs>
          <w:tab w:pos="861" w:val="left" w:leader="none"/>
          <w:tab w:pos="862" w:val="left" w:leader="none"/>
        </w:tabs>
        <w:spacing w:line="276" w:lineRule="auto" w:before="0" w:after="0"/>
        <w:ind w:left="861" w:right="125" w:hanging="428"/>
        <w:jc w:val="left"/>
        <w:rPr>
          <w:sz w:val="24"/>
        </w:rPr>
      </w:pPr>
      <w:r>
        <w:rPr>
          <w:b/>
          <w:sz w:val="24"/>
        </w:rPr>
        <w:t>Tribunal: </w:t>
      </w:r>
      <w:r>
        <w:rPr>
          <w:sz w:val="24"/>
        </w:rPr>
        <w:t>Tribunal de lo Contencioso Administrativo del Estado de Guanajuato.</w:t>
      </w:r>
    </w:p>
    <w:p>
      <w:pPr>
        <w:pStyle w:val="ListParagraph"/>
        <w:numPr>
          <w:ilvl w:val="0"/>
          <w:numId w:val="1"/>
        </w:numPr>
        <w:tabs>
          <w:tab w:pos="861" w:val="left" w:leader="none"/>
          <w:tab w:pos="862" w:val="left" w:leader="none"/>
          <w:tab w:pos="2135" w:val="left" w:leader="none"/>
          <w:tab w:pos="3262" w:val="left" w:leader="none"/>
          <w:tab w:pos="5015" w:val="left" w:leader="none"/>
          <w:tab w:pos="5580" w:val="left" w:leader="none"/>
          <w:tab w:pos="6695" w:val="left" w:leader="none"/>
          <w:tab w:pos="7208" w:val="left" w:leader="none"/>
          <w:tab w:pos="7642" w:val="left" w:leader="none"/>
        </w:tabs>
        <w:spacing w:line="276" w:lineRule="auto" w:before="1" w:after="0"/>
        <w:ind w:left="861" w:right="125" w:hanging="495"/>
        <w:jc w:val="left"/>
        <w:rPr>
          <w:sz w:val="24"/>
        </w:rPr>
      </w:pPr>
      <w:r>
        <w:rPr>
          <w:b/>
          <w:sz w:val="24"/>
        </w:rPr>
        <w:t>Consejo:</w:t>
        <w:tab/>
      </w:r>
      <w:r>
        <w:rPr>
          <w:sz w:val="24"/>
        </w:rPr>
        <w:t>Consejo</w:t>
        <w:tab/>
        <w:t>Administrativo</w:t>
        <w:tab/>
        <w:t>del</w:t>
        <w:tab/>
        <w:t>Tribunal</w:t>
        <w:tab/>
        <w:t>de</w:t>
        <w:tab/>
        <w:t>lo</w:t>
        <w:tab/>
      </w:r>
      <w:r>
        <w:rPr>
          <w:spacing w:val="-3"/>
          <w:sz w:val="24"/>
        </w:rPr>
        <w:t>Contencioso </w:t>
      </w:r>
      <w:r>
        <w:rPr>
          <w:sz w:val="24"/>
        </w:rPr>
        <w:t>Administrativo del Estado de</w:t>
      </w:r>
      <w:r>
        <w:rPr>
          <w:spacing w:val="-3"/>
          <w:sz w:val="24"/>
        </w:rPr>
        <w:t> </w:t>
      </w:r>
      <w:r>
        <w:rPr>
          <w:sz w:val="24"/>
        </w:rPr>
        <w:t>Guanajuato.</w:t>
      </w:r>
    </w:p>
    <w:p>
      <w:pPr>
        <w:spacing w:after="0" w:line="276" w:lineRule="auto"/>
        <w:jc w:val="left"/>
        <w:rPr>
          <w:sz w:val="24"/>
        </w:rPr>
        <w:sectPr>
          <w:type w:val="continuous"/>
          <w:pgSz w:w="12240" w:h="15840"/>
          <w:pgMar w:top="1340" w:bottom="280" w:left="1560" w:right="1580"/>
        </w:sectPr>
      </w:pPr>
    </w:p>
    <w:p>
      <w:pPr>
        <w:pStyle w:val="ListParagraph"/>
        <w:numPr>
          <w:ilvl w:val="0"/>
          <w:numId w:val="1"/>
        </w:numPr>
        <w:tabs>
          <w:tab w:pos="861" w:val="left" w:leader="none"/>
          <w:tab w:pos="862" w:val="left" w:leader="none"/>
        </w:tabs>
        <w:spacing w:line="278" w:lineRule="auto" w:before="74" w:after="0"/>
        <w:ind w:left="861" w:right="124" w:hanging="562"/>
        <w:jc w:val="left"/>
        <w:rPr>
          <w:sz w:val="24"/>
        </w:rPr>
      </w:pPr>
      <w:r>
        <w:rPr>
          <w:b/>
          <w:sz w:val="24"/>
        </w:rPr>
        <w:t>Consejo Académico: </w:t>
      </w:r>
      <w:r>
        <w:rPr>
          <w:sz w:val="24"/>
        </w:rPr>
        <w:t>Consejo Académico del Tribunal de lo Contencioso Administrativo del Estado de</w:t>
      </w:r>
      <w:r>
        <w:rPr>
          <w:spacing w:val="-3"/>
          <w:sz w:val="24"/>
        </w:rPr>
        <w:t> </w:t>
      </w:r>
      <w:r>
        <w:rPr>
          <w:sz w:val="24"/>
        </w:rPr>
        <w:t>Guanajuato.</w:t>
      </w:r>
    </w:p>
    <w:p>
      <w:pPr>
        <w:pStyle w:val="ListParagraph"/>
        <w:numPr>
          <w:ilvl w:val="0"/>
          <w:numId w:val="1"/>
        </w:numPr>
        <w:tabs>
          <w:tab w:pos="861" w:val="left" w:leader="none"/>
          <w:tab w:pos="862" w:val="left" w:leader="none"/>
        </w:tabs>
        <w:spacing w:line="272" w:lineRule="exact" w:before="0" w:after="0"/>
        <w:ind w:left="861" w:right="0" w:hanging="589"/>
        <w:jc w:val="left"/>
        <w:rPr>
          <w:sz w:val="24"/>
        </w:rPr>
      </w:pPr>
      <w:r>
        <w:rPr>
          <w:b/>
          <w:sz w:val="24"/>
        </w:rPr>
        <w:t>SEG: </w:t>
      </w:r>
      <w:r>
        <w:rPr>
          <w:sz w:val="24"/>
        </w:rPr>
        <w:t>Secretaría de Educación de</w:t>
      </w:r>
      <w:r>
        <w:rPr>
          <w:spacing w:val="-22"/>
          <w:sz w:val="24"/>
        </w:rPr>
        <w:t> </w:t>
      </w:r>
      <w:r>
        <w:rPr>
          <w:sz w:val="24"/>
        </w:rPr>
        <w:t>Guanajuato</w:t>
      </w:r>
    </w:p>
    <w:p>
      <w:pPr>
        <w:pStyle w:val="ListParagraph"/>
        <w:numPr>
          <w:ilvl w:val="0"/>
          <w:numId w:val="1"/>
        </w:numPr>
        <w:tabs>
          <w:tab w:pos="861" w:val="left" w:leader="none"/>
          <w:tab w:pos="862" w:val="left" w:leader="none"/>
        </w:tabs>
        <w:spacing w:line="240" w:lineRule="auto" w:before="41" w:after="0"/>
        <w:ind w:left="861" w:right="0" w:hanging="522"/>
        <w:jc w:val="left"/>
        <w:rPr>
          <w:sz w:val="24"/>
        </w:rPr>
      </w:pPr>
      <w:r>
        <w:rPr>
          <w:b/>
          <w:sz w:val="24"/>
        </w:rPr>
        <w:t>Instituto: </w:t>
      </w:r>
      <w:r>
        <w:rPr>
          <w:sz w:val="24"/>
        </w:rPr>
        <w:t>Instituto de la Justicia</w:t>
      </w:r>
      <w:r>
        <w:rPr>
          <w:spacing w:val="-23"/>
          <w:sz w:val="24"/>
        </w:rPr>
        <w:t> </w:t>
      </w:r>
      <w:r>
        <w:rPr>
          <w:sz w:val="24"/>
        </w:rPr>
        <w:t>Administrativa.</w:t>
      </w:r>
    </w:p>
    <w:p>
      <w:pPr>
        <w:pStyle w:val="ListParagraph"/>
        <w:numPr>
          <w:ilvl w:val="0"/>
          <w:numId w:val="1"/>
        </w:numPr>
        <w:tabs>
          <w:tab w:pos="862" w:val="left" w:leader="none"/>
        </w:tabs>
        <w:spacing w:line="278" w:lineRule="auto" w:before="40" w:after="0"/>
        <w:ind w:left="861" w:right="128" w:hanging="588"/>
        <w:jc w:val="both"/>
        <w:rPr>
          <w:sz w:val="24"/>
        </w:rPr>
      </w:pPr>
      <w:r>
        <w:rPr>
          <w:b/>
          <w:sz w:val="24"/>
        </w:rPr>
        <w:t>Dirección: </w:t>
      </w:r>
      <w:r>
        <w:rPr>
          <w:sz w:val="24"/>
        </w:rPr>
        <w:t>Quien sea titular de la Dirección del Instituto de la Justicia Administrativa.</w:t>
      </w:r>
    </w:p>
    <w:p>
      <w:pPr>
        <w:pStyle w:val="ListParagraph"/>
        <w:numPr>
          <w:ilvl w:val="0"/>
          <w:numId w:val="1"/>
        </w:numPr>
        <w:tabs>
          <w:tab w:pos="862" w:val="left" w:leader="none"/>
        </w:tabs>
        <w:spacing w:line="276" w:lineRule="auto" w:before="0" w:after="0"/>
        <w:ind w:left="861" w:right="120" w:hanging="656"/>
        <w:jc w:val="both"/>
        <w:rPr>
          <w:sz w:val="24"/>
        </w:rPr>
      </w:pPr>
      <w:r>
        <w:rPr>
          <w:b/>
          <w:sz w:val="24"/>
        </w:rPr>
        <w:t>Coordinación: </w:t>
      </w:r>
      <w:r>
        <w:rPr>
          <w:sz w:val="24"/>
        </w:rPr>
        <w:t>Quien sea titular de la Coordinación de Administración, Docencia y Servicio Administrativo de Carrera del Instituto de la Justicia Administrativa.</w:t>
      </w:r>
    </w:p>
    <w:p>
      <w:pPr>
        <w:pStyle w:val="ListParagraph"/>
        <w:numPr>
          <w:ilvl w:val="0"/>
          <w:numId w:val="1"/>
        </w:numPr>
        <w:tabs>
          <w:tab w:pos="862" w:val="left" w:leader="none"/>
        </w:tabs>
        <w:spacing w:line="276" w:lineRule="auto" w:before="0" w:after="0"/>
        <w:ind w:left="861" w:right="119" w:hanging="720"/>
        <w:jc w:val="both"/>
        <w:rPr>
          <w:sz w:val="24"/>
        </w:rPr>
      </w:pPr>
      <w:r>
        <w:rPr>
          <w:b/>
          <w:sz w:val="24"/>
        </w:rPr>
        <w:t>Reglamento: </w:t>
      </w:r>
      <w:r>
        <w:rPr>
          <w:sz w:val="24"/>
        </w:rPr>
        <w:t>Reglamento de la Especialidad en Justicia Administrativa y de la Maestría en Justicia Administrativa.</w:t>
      </w:r>
    </w:p>
    <w:p>
      <w:pPr>
        <w:pStyle w:val="ListParagraph"/>
        <w:numPr>
          <w:ilvl w:val="0"/>
          <w:numId w:val="1"/>
        </w:numPr>
        <w:tabs>
          <w:tab w:pos="862" w:val="left" w:leader="none"/>
        </w:tabs>
        <w:spacing w:line="275" w:lineRule="exact" w:before="0" w:after="0"/>
        <w:ind w:left="861" w:right="0" w:hanging="589"/>
        <w:jc w:val="both"/>
        <w:rPr>
          <w:sz w:val="24"/>
        </w:rPr>
      </w:pPr>
      <w:r>
        <w:rPr>
          <w:b/>
          <w:sz w:val="24"/>
        </w:rPr>
        <w:t>Especialidad: </w:t>
      </w:r>
      <w:r>
        <w:rPr>
          <w:sz w:val="24"/>
        </w:rPr>
        <w:t>Programa de Especialidad en Justicia</w:t>
      </w:r>
      <w:r>
        <w:rPr>
          <w:spacing w:val="-15"/>
          <w:sz w:val="24"/>
        </w:rPr>
        <w:t> </w:t>
      </w:r>
      <w:r>
        <w:rPr>
          <w:sz w:val="24"/>
        </w:rPr>
        <w:t>Administrativa.</w:t>
      </w:r>
    </w:p>
    <w:p>
      <w:pPr>
        <w:pStyle w:val="ListParagraph"/>
        <w:numPr>
          <w:ilvl w:val="0"/>
          <w:numId w:val="1"/>
        </w:numPr>
        <w:tabs>
          <w:tab w:pos="862" w:val="left" w:leader="none"/>
        </w:tabs>
        <w:spacing w:line="240" w:lineRule="auto" w:before="38" w:after="0"/>
        <w:ind w:left="861" w:right="0" w:hanging="522"/>
        <w:jc w:val="both"/>
        <w:rPr>
          <w:sz w:val="24"/>
        </w:rPr>
      </w:pPr>
      <w:r>
        <w:rPr>
          <w:b/>
          <w:sz w:val="24"/>
        </w:rPr>
        <w:t>Maestría: </w:t>
      </w:r>
      <w:r>
        <w:rPr>
          <w:sz w:val="24"/>
        </w:rPr>
        <w:t>Programa de Maestría en Justicia</w:t>
      </w:r>
      <w:r>
        <w:rPr>
          <w:spacing w:val="-3"/>
          <w:sz w:val="24"/>
        </w:rPr>
        <w:t> </w:t>
      </w:r>
      <w:r>
        <w:rPr>
          <w:sz w:val="24"/>
        </w:rPr>
        <w:t>Administrativa.</w:t>
      </w:r>
    </w:p>
    <w:p>
      <w:pPr>
        <w:pStyle w:val="BodyText"/>
        <w:spacing w:before="7"/>
      </w:pPr>
    </w:p>
    <w:p>
      <w:pPr>
        <w:pStyle w:val="BodyText"/>
        <w:spacing w:line="276" w:lineRule="auto"/>
        <w:ind w:left="141" w:right="118"/>
        <w:jc w:val="both"/>
      </w:pPr>
      <w:r>
        <w:rPr>
          <w:b/>
        </w:rPr>
        <w:t>Artículo 3.- </w:t>
      </w:r>
      <w:r>
        <w:rPr/>
        <w:t>El Tribunal a través del Instituto, ofrecerá la Especialidad en Justicia Administrativa y la Maestría en Justicia Administrativa, las cuales se organizarán conforme al plan y programa de estudios aprobados por la SEG y el Consejo y podrá ser impartida en la sede del Tribunal o en las instalaciones que el Instituto disponga para ello, de acuerdo con las necesidades del Programa.</w:t>
      </w:r>
    </w:p>
    <w:p>
      <w:pPr>
        <w:pStyle w:val="BodyText"/>
        <w:rPr>
          <w:sz w:val="26"/>
        </w:rPr>
      </w:pPr>
    </w:p>
    <w:p>
      <w:pPr>
        <w:pStyle w:val="BodyText"/>
        <w:rPr>
          <w:sz w:val="26"/>
        </w:rPr>
      </w:pPr>
    </w:p>
    <w:p>
      <w:pPr>
        <w:pStyle w:val="Heading1"/>
        <w:spacing w:before="198"/>
      </w:pPr>
      <w:r>
        <w:rPr/>
        <w:t>CAPÍTULO II</w:t>
      </w:r>
    </w:p>
    <w:p>
      <w:pPr>
        <w:pStyle w:val="BodyText"/>
        <w:spacing w:before="5"/>
        <w:rPr>
          <w:b/>
        </w:rPr>
      </w:pPr>
    </w:p>
    <w:p>
      <w:pPr>
        <w:spacing w:before="0"/>
        <w:ind w:left="210" w:right="193" w:firstLine="0"/>
        <w:jc w:val="center"/>
        <w:rPr>
          <w:b/>
          <w:sz w:val="24"/>
        </w:rPr>
      </w:pPr>
      <w:r>
        <w:rPr>
          <w:b/>
          <w:sz w:val="24"/>
        </w:rPr>
        <w:t>Consejo Académico</w:t>
      </w:r>
    </w:p>
    <w:p>
      <w:pPr>
        <w:pStyle w:val="BodyText"/>
        <w:spacing w:before="5"/>
        <w:rPr>
          <w:b/>
        </w:rPr>
      </w:pPr>
    </w:p>
    <w:p>
      <w:pPr>
        <w:pStyle w:val="BodyText"/>
        <w:spacing w:line="278" w:lineRule="auto"/>
        <w:ind w:left="141" w:right="118"/>
        <w:jc w:val="both"/>
      </w:pPr>
      <w:r>
        <w:rPr>
          <w:b/>
        </w:rPr>
        <w:t>Artículo 4.- </w:t>
      </w:r>
      <w:r>
        <w:rPr/>
        <w:t>El Consejo Académico es un órgano colegiado de autoridad, responsable de los asuntos académicos.</w:t>
      </w:r>
    </w:p>
    <w:p>
      <w:pPr>
        <w:pStyle w:val="BodyText"/>
        <w:spacing w:before="6"/>
        <w:rPr>
          <w:sz w:val="20"/>
        </w:rPr>
      </w:pPr>
    </w:p>
    <w:p>
      <w:pPr>
        <w:pStyle w:val="BodyText"/>
        <w:ind w:left="141"/>
        <w:jc w:val="both"/>
      </w:pPr>
      <w:r>
        <w:rPr>
          <w:b/>
        </w:rPr>
        <w:t>Artículo 5.- </w:t>
      </w:r>
      <w:r>
        <w:rPr/>
        <w:t>El Consejo Académico se integrará de la siguiente forma:</w:t>
      </w:r>
    </w:p>
    <w:p>
      <w:pPr>
        <w:pStyle w:val="BodyText"/>
        <w:spacing w:before="4"/>
      </w:pPr>
    </w:p>
    <w:p>
      <w:pPr>
        <w:pStyle w:val="ListParagraph"/>
        <w:numPr>
          <w:ilvl w:val="1"/>
          <w:numId w:val="1"/>
        </w:numPr>
        <w:tabs>
          <w:tab w:pos="862" w:val="left" w:leader="none"/>
        </w:tabs>
        <w:spacing w:line="276" w:lineRule="auto" w:before="1" w:after="0"/>
        <w:ind w:left="861" w:right="118" w:hanging="428"/>
        <w:jc w:val="both"/>
        <w:rPr>
          <w:sz w:val="24"/>
        </w:rPr>
      </w:pPr>
      <w:r>
        <w:rPr>
          <w:sz w:val="24"/>
        </w:rPr>
        <w:t>Quien sea titular de la presidencia del Tribunal Contencioso Administrativo, quien fungirá como Presidente. Este podrá delegar el cargo a otro Magistrado en</w:t>
      </w:r>
      <w:r>
        <w:rPr>
          <w:spacing w:val="-3"/>
          <w:sz w:val="24"/>
        </w:rPr>
        <w:t> </w:t>
      </w:r>
      <w:r>
        <w:rPr>
          <w:sz w:val="24"/>
        </w:rPr>
        <w:t>funciones.</w:t>
      </w:r>
    </w:p>
    <w:p>
      <w:pPr>
        <w:pStyle w:val="ListParagraph"/>
        <w:numPr>
          <w:ilvl w:val="1"/>
          <w:numId w:val="1"/>
        </w:numPr>
        <w:tabs>
          <w:tab w:pos="862" w:val="left" w:leader="none"/>
        </w:tabs>
        <w:spacing w:line="276" w:lineRule="auto" w:before="0" w:after="0"/>
        <w:ind w:left="861" w:right="127" w:hanging="495"/>
        <w:jc w:val="both"/>
        <w:rPr>
          <w:sz w:val="24"/>
        </w:rPr>
      </w:pPr>
      <w:r>
        <w:rPr>
          <w:sz w:val="24"/>
        </w:rPr>
        <w:t>Quien sea titular de la dirección del Instituto de la Justicia Administrativa, quien fungirá como titular de la Secretaría del</w:t>
      </w:r>
      <w:r>
        <w:rPr>
          <w:spacing w:val="-14"/>
          <w:sz w:val="24"/>
        </w:rPr>
        <w:t> </w:t>
      </w:r>
      <w:r>
        <w:rPr>
          <w:sz w:val="24"/>
        </w:rPr>
        <w:t>Consejo.</w:t>
      </w:r>
    </w:p>
    <w:p>
      <w:pPr>
        <w:pStyle w:val="ListParagraph"/>
        <w:numPr>
          <w:ilvl w:val="1"/>
          <w:numId w:val="1"/>
        </w:numPr>
        <w:tabs>
          <w:tab w:pos="861" w:val="left" w:leader="none"/>
          <w:tab w:pos="862" w:val="left" w:leader="none"/>
        </w:tabs>
        <w:spacing w:line="278" w:lineRule="auto" w:before="0" w:after="0"/>
        <w:ind w:left="861" w:right="128" w:hanging="562"/>
        <w:jc w:val="left"/>
        <w:rPr>
          <w:sz w:val="24"/>
        </w:rPr>
      </w:pPr>
      <w:r>
        <w:rPr>
          <w:sz w:val="24"/>
        </w:rPr>
        <w:t>Una persona representante de la plantilla docente, el cual será designado por quien sea titular de la</w:t>
      </w:r>
      <w:r>
        <w:rPr>
          <w:spacing w:val="-6"/>
          <w:sz w:val="24"/>
        </w:rPr>
        <w:t> </w:t>
      </w:r>
      <w:r>
        <w:rPr>
          <w:sz w:val="24"/>
        </w:rPr>
        <w:t>Presidencia.</w:t>
      </w:r>
    </w:p>
    <w:p>
      <w:pPr>
        <w:pStyle w:val="ListParagraph"/>
        <w:numPr>
          <w:ilvl w:val="1"/>
          <w:numId w:val="1"/>
        </w:numPr>
        <w:tabs>
          <w:tab w:pos="861" w:val="left" w:leader="none"/>
          <w:tab w:pos="862" w:val="left" w:leader="none"/>
        </w:tabs>
        <w:spacing w:line="240" w:lineRule="auto" w:before="0" w:after="0"/>
        <w:ind w:left="861" w:right="333" w:hanging="588"/>
        <w:jc w:val="left"/>
        <w:rPr>
          <w:sz w:val="24"/>
        </w:rPr>
      </w:pPr>
      <w:r>
        <w:rPr>
          <w:sz w:val="24"/>
        </w:rPr>
        <w:t>Una persona representante del alumnado por cada uno de los</w:t>
      </w:r>
      <w:r>
        <w:rPr>
          <w:spacing w:val="-41"/>
          <w:sz w:val="24"/>
        </w:rPr>
        <w:t> </w:t>
      </w:r>
      <w:r>
        <w:rPr>
          <w:sz w:val="24"/>
        </w:rPr>
        <w:t>Programas. Para ser elegidos, deberán ser parte del alumnado regular del Programa que</w:t>
      </w:r>
      <w:r>
        <w:rPr>
          <w:spacing w:val="-1"/>
          <w:sz w:val="24"/>
        </w:rPr>
        <w:t> </w:t>
      </w:r>
      <w:r>
        <w:rPr>
          <w:sz w:val="24"/>
        </w:rPr>
        <w:t>representen.</w:t>
      </w:r>
    </w:p>
    <w:p>
      <w:pPr>
        <w:spacing w:after="0" w:line="240" w:lineRule="auto"/>
        <w:jc w:val="left"/>
        <w:rPr>
          <w:sz w:val="24"/>
        </w:rPr>
        <w:sectPr>
          <w:pgSz w:w="12240" w:h="15840"/>
          <w:pgMar w:top="1340" w:bottom="280" w:left="1560" w:right="1580"/>
        </w:sectPr>
      </w:pPr>
    </w:p>
    <w:p>
      <w:pPr>
        <w:pStyle w:val="BodyText"/>
        <w:spacing w:line="278" w:lineRule="auto" w:before="74"/>
        <w:ind w:left="141" w:right="117"/>
        <w:jc w:val="both"/>
      </w:pPr>
      <w:r>
        <w:rPr>
          <w:b/>
        </w:rPr>
        <w:t>Artículo 6.- </w:t>
      </w:r>
      <w:r>
        <w:rPr/>
        <w:t>El Consejo Académico se renovará cada año, pudiendo repetir las personas que lo integran en el cargo de manera indefinida.</w:t>
      </w:r>
    </w:p>
    <w:p>
      <w:pPr>
        <w:pStyle w:val="BodyText"/>
        <w:spacing w:before="5"/>
        <w:rPr>
          <w:sz w:val="20"/>
        </w:rPr>
      </w:pPr>
    </w:p>
    <w:p>
      <w:pPr>
        <w:pStyle w:val="BodyText"/>
        <w:spacing w:line="276" w:lineRule="auto" w:before="1"/>
        <w:ind w:left="141" w:right="126"/>
        <w:jc w:val="both"/>
      </w:pPr>
      <w:r>
        <w:rPr>
          <w:b/>
        </w:rPr>
        <w:t>Artículo 7.- </w:t>
      </w:r>
      <w:r>
        <w:rPr/>
        <w:t>El Consejo Académico celebrará una sesión de nombramiento de manera anual donde nombrará a quienes sean los integrantes.</w:t>
      </w:r>
    </w:p>
    <w:p>
      <w:pPr>
        <w:pStyle w:val="BodyText"/>
        <w:spacing w:before="8"/>
        <w:rPr>
          <w:sz w:val="20"/>
        </w:rPr>
      </w:pPr>
    </w:p>
    <w:p>
      <w:pPr>
        <w:pStyle w:val="BodyText"/>
        <w:spacing w:line="276" w:lineRule="auto"/>
        <w:ind w:left="141" w:right="121"/>
        <w:jc w:val="both"/>
      </w:pPr>
      <w:r>
        <w:rPr>
          <w:b/>
        </w:rPr>
        <w:t>Artículo 8.- </w:t>
      </w:r>
      <w:r>
        <w:rPr/>
        <w:t>El Consejo Académico será convocado por la Secretaría a petición de cualquiera de las personas que lo integran y las sesiones serán válidas con la asistencia de la mayoría de quienes sean los integrantes y los acuerdos se tomarán por mayoría de votos. En caso de empate la presidencia tendrá el voto dirimente.</w:t>
      </w:r>
    </w:p>
    <w:p>
      <w:pPr>
        <w:pStyle w:val="BodyText"/>
        <w:spacing w:before="1"/>
        <w:rPr>
          <w:sz w:val="21"/>
        </w:rPr>
      </w:pPr>
    </w:p>
    <w:p>
      <w:pPr>
        <w:pStyle w:val="BodyText"/>
        <w:spacing w:line="276" w:lineRule="auto"/>
        <w:ind w:left="141" w:right="128"/>
        <w:jc w:val="both"/>
      </w:pPr>
      <w:r>
        <w:rPr>
          <w:b/>
        </w:rPr>
        <w:t>Artículo 9.- </w:t>
      </w:r>
      <w:r>
        <w:rPr/>
        <w:t>De cada una de las sesiones, la Secretaría levantará un acta que deberá firmarse por todas las personas asistentes. En el caso de que alguna de las los personas que lo integran no esté presente, la Secretaría le notificará acerca de los acuerdos tomados para su</w:t>
      </w:r>
      <w:r>
        <w:rPr>
          <w:spacing w:val="-4"/>
        </w:rPr>
        <w:t> </w:t>
      </w:r>
      <w:r>
        <w:rPr/>
        <w:t>conocimiento.</w:t>
      </w:r>
    </w:p>
    <w:p>
      <w:pPr>
        <w:pStyle w:val="BodyText"/>
        <w:spacing w:before="10"/>
        <w:rPr>
          <w:sz w:val="20"/>
        </w:rPr>
      </w:pPr>
    </w:p>
    <w:p>
      <w:pPr>
        <w:spacing w:before="0"/>
        <w:ind w:left="141" w:right="0" w:firstLine="0"/>
        <w:jc w:val="both"/>
        <w:rPr>
          <w:sz w:val="24"/>
        </w:rPr>
      </w:pPr>
      <w:r>
        <w:rPr>
          <w:b/>
          <w:sz w:val="24"/>
        </w:rPr>
        <w:t>Artículo 10.- </w:t>
      </w:r>
      <w:r>
        <w:rPr>
          <w:sz w:val="24"/>
        </w:rPr>
        <w:t>Son atribuciones del Consejo Académico:</w:t>
      </w:r>
    </w:p>
    <w:p>
      <w:pPr>
        <w:pStyle w:val="BodyText"/>
        <w:spacing w:before="5"/>
      </w:pPr>
    </w:p>
    <w:p>
      <w:pPr>
        <w:pStyle w:val="ListParagraph"/>
        <w:numPr>
          <w:ilvl w:val="0"/>
          <w:numId w:val="2"/>
        </w:numPr>
        <w:tabs>
          <w:tab w:pos="862" w:val="left" w:leader="none"/>
        </w:tabs>
        <w:spacing w:line="276" w:lineRule="auto" w:before="0" w:after="0"/>
        <w:ind w:left="861" w:right="127" w:hanging="428"/>
        <w:jc w:val="both"/>
        <w:rPr>
          <w:sz w:val="24"/>
        </w:rPr>
      </w:pPr>
      <w:r>
        <w:rPr>
          <w:sz w:val="24"/>
        </w:rPr>
        <w:t>Conocer sobre las indisciplinas, infracciones o faltas graves del alumnado o personal docente profesores que se pongan bajo su</w:t>
      </w:r>
      <w:r>
        <w:rPr>
          <w:spacing w:val="-13"/>
          <w:sz w:val="24"/>
        </w:rPr>
        <w:t> </w:t>
      </w:r>
      <w:r>
        <w:rPr>
          <w:sz w:val="24"/>
        </w:rPr>
        <w:t>consideración;</w:t>
      </w:r>
    </w:p>
    <w:p>
      <w:pPr>
        <w:pStyle w:val="ListParagraph"/>
        <w:numPr>
          <w:ilvl w:val="0"/>
          <w:numId w:val="2"/>
        </w:numPr>
        <w:tabs>
          <w:tab w:pos="862" w:val="left" w:leader="none"/>
        </w:tabs>
        <w:spacing w:line="276" w:lineRule="auto" w:before="0" w:after="0"/>
        <w:ind w:left="861" w:right="123" w:hanging="495"/>
        <w:jc w:val="both"/>
        <w:rPr>
          <w:sz w:val="24"/>
        </w:rPr>
      </w:pPr>
      <w:r>
        <w:rPr>
          <w:sz w:val="24"/>
        </w:rPr>
        <w:t>Determinar la sanción para los casos en que se comprueben las indisciplinas, infracciones o faltas graves del alumnado o personal docente profesores, de acuerdo a lo establecido en el Capítulo de Infracciones y Sanciones;</w:t>
      </w:r>
    </w:p>
    <w:p>
      <w:pPr>
        <w:pStyle w:val="ListParagraph"/>
        <w:numPr>
          <w:ilvl w:val="0"/>
          <w:numId w:val="2"/>
        </w:numPr>
        <w:tabs>
          <w:tab w:pos="861" w:val="left" w:leader="none"/>
          <w:tab w:pos="862" w:val="left" w:leader="none"/>
        </w:tabs>
        <w:spacing w:line="276" w:lineRule="auto" w:before="0" w:after="0"/>
        <w:ind w:left="861" w:right="118" w:hanging="562"/>
        <w:jc w:val="left"/>
        <w:rPr>
          <w:sz w:val="24"/>
        </w:rPr>
      </w:pPr>
      <w:r>
        <w:rPr>
          <w:sz w:val="24"/>
        </w:rPr>
        <w:t>Analizar y opinar sobre las evaluaciones del desempeño del personal docente;</w:t>
      </w:r>
    </w:p>
    <w:p>
      <w:pPr>
        <w:pStyle w:val="ListParagraph"/>
        <w:numPr>
          <w:ilvl w:val="0"/>
          <w:numId w:val="2"/>
        </w:numPr>
        <w:tabs>
          <w:tab w:pos="861" w:val="left" w:leader="none"/>
          <w:tab w:pos="862" w:val="left" w:leader="none"/>
        </w:tabs>
        <w:spacing w:line="276" w:lineRule="auto" w:before="0" w:after="0"/>
        <w:ind w:left="861" w:right="127" w:hanging="588"/>
        <w:jc w:val="left"/>
        <w:rPr>
          <w:sz w:val="24"/>
        </w:rPr>
      </w:pPr>
      <w:r>
        <w:rPr>
          <w:sz w:val="24"/>
        </w:rPr>
        <w:t>Emitir opiniones acerca de los programas de estudios que contribuyan a la mejora del plan de</w:t>
      </w:r>
      <w:r>
        <w:rPr>
          <w:spacing w:val="-10"/>
          <w:sz w:val="24"/>
        </w:rPr>
        <w:t> </w:t>
      </w:r>
      <w:r>
        <w:rPr>
          <w:sz w:val="24"/>
        </w:rPr>
        <w:t>estudios;</w:t>
      </w:r>
    </w:p>
    <w:p>
      <w:pPr>
        <w:pStyle w:val="ListParagraph"/>
        <w:numPr>
          <w:ilvl w:val="0"/>
          <w:numId w:val="2"/>
        </w:numPr>
        <w:tabs>
          <w:tab w:pos="861" w:val="left" w:leader="none"/>
          <w:tab w:pos="862" w:val="left" w:leader="none"/>
        </w:tabs>
        <w:spacing w:line="276" w:lineRule="auto" w:before="0" w:after="0"/>
        <w:ind w:left="861" w:right="127" w:hanging="521"/>
        <w:jc w:val="left"/>
        <w:rPr>
          <w:sz w:val="24"/>
        </w:rPr>
      </w:pPr>
      <w:r>
        <w:rPr>
          <w:sz w:val="24"/>
        </w:rPr>
        <w:t>Conocer y determinar sobre las solicitudes de revisión de las evaluaciones presentadas por el</w:t>
      </w:r>
      <w:r>
        <w:rPr>
          <w:spacing w:val="-3"/>
          <w:sz w:val="24"/>
        </w:rPr>
        <w:t> </w:t>
      </w:r>
      <w:r>
        <w:rPr>
          <w:sz w:val="24"/>
        </w:rPr>
        <w:t>alumnado;</w:t>
      </w:r>
    </w:p>
    <w:p>
      <w:pPr>
        <w:pStyle w:val="ListParagraph"/>
        <w:numPr>
          <w:ilvl w:val="0"/>
          <w:numId w:val="2"/>
        </w:numPr>
        <w:tabs>
          <w:tab w:pos="861" w:val="left" w:leader="none"/>
          <w:tab w:pos="862" w:val="left" w:leader="none"/>
        </w:tabs>
        <w:spacing w:line="240" w:lineRule="auto" w:before="0" w:after="0"/>
        <w:ind w:left="861" w:right="0" w:hanging="589"/>
        <w:jc w:val="left"/>
        <w:rPr>
          <w:sz w:val="24"/>
        </w:rPr>
      </w:pPr>
      <w:r>
        <w:rPr>
          <w:sz w:val="24"/>
        </w:rPr>
        <w:t>Conocer y determinar sobre la recusación y excusa del personal</w:t>
      </w:r>
      <w:r>
        <w:rPr>
          <w:spacing w:val="-26"/>
          <w:sz w:val="24"/>
        </w:rPr>
        <w:t> </w:t>
      </w:r>
      <w:r>
        <w:rPr>
          <w:sz w:val="24"/>
        </w:rPr>
        <w:t>docente;</w:t>
      </w:r>
    </w:p>
    <w:p>
      <w:pPr>
        <w:pStyle w:val="ListParagraph"/>
        <w:numPr>
          <w:ilvl w:val="0"/>
          <w:numId w:val="2"/>
        </w:numPr>
        <w:tabs>
          <w:tab w:pos="861" w:val="left" w:leader="none"/>
          <w:tab w:pos="862" w:val="left" w:leader="none"/>
        </w:tabs>
        <w:spacing w:line="240" w:lineRule="auto" w:before="41" w:after="0"/>
        <w:ind w:left="861" w:right="0" w:hanging="656"/>
        <w:jc w:val="left"/>
        <w:rPr>
          <w:sz w:val="24"/>
        </w:rPr>
      </w:pPr>
      <w:r>
        <w:rPr>
          <w:sz w:val="24"/>
        </w:rPr>
        <w:t>Determinar sobre las suplencias de la plantilla</w:t>
      </w:r>
      <w:r>
        <w:rPr>
          <w:spacing w:val="-13"/>
          <w:sz w:val="24"/>
        </w:rPr>
        <w:t> </w:t>
      </w:r>
      <w:r>
        <w:rPr>
          <w:sz w:val="24"/>
        </w:rPr>
        <w:t>docente;</w:t>
      </w:r>
    </w:p>
    <w:p>
      <w:pPr>
        <w:pStyle w:val="ListParagraph"/>
        <w:numPr>
          <w:ilvl w:val="0"/>
          <w:numId w:val="2"/>
        </w:numPr>
        <w:tabs>
          <w:tab w:pos="861" w:val="left" w:leader="none"/>
          <w:tab w:pos="862" w:val="left" w:leader="none"/>
        </w:tabs>
        <w:spacing w:line="240" w:lineRule="auto" w:before="41" w:after="0"/>
        <w:ind w:left="861" w:right="0" w:hanging="721"/>
        <w:jc w:val="left"/>
        <w:rPr>
          <w:sz w:val="24"/>
        </w:rPr>
      </w:pPr>
      <w:r>
        <w:rPr>
          <w:sz w:val="24"/>
        </w:rPr>
        <w:t>Conocer de cualquier otro asunto que se ponga a su</w:t>
      </w:r>
      <w:r>
        <w:rPr>
          <w:spacing w:val="-18"/>
          <w:sz w:val="24"/>
        </w:rPr>
        <w:t> </w:t>
      </w:r>
      <w:r>
        <w:rPr>
          <w:sz w:val="24"/>
        </w:rPr>
        <w:t>consideración.</w:t>
      </w:r>
    </w:p>
    <w:p>
      <w:pPr>
        <w:pStyle w:val="BodyText"/>
        <w:spacing w:before="4"/>
      </w:pPr>
    </w:p>
    <w:p>
      <w:pPr>
        <w:pStyle w:val="BodyText"/>
        <w:spacing w:line="278" w:lineRule="auto" w:before="1"/>
        <w:ind w:left="141" w:right="125"/>
        <w:jc w:val="both"/>
      </w:pPr>
      <w:r>
        <w:rPr>
          <w:b/>
        </w:rPr>
        <w:t>Artículo 11.- </w:t>
      </w:r>
      <w:r>
        <w:rPr/>
        <w:t>Las decisiones tomadas por el consejo Académico no son recurribles.</w:t>
      </w:r>
    </w:p>
    <w:p>
      <w:pPr>
        <w:pStyle w:val="BodyText"/>
        <w:rPr>
          <w:sz w:val="26"/>
        </w:rPr>
      </w:pPr>
    </w:p>
    <w:p>
      <w:pPr>
        <w:pStyle w:val="BodyText"/>
        <w:rPr>
          <w:sz w:val="26"/>
        </w:rPr>
      </w:pPr>
    </w:p>
    <w:p>
      <w:pPr>
        <w:pStyle w:val="Heading1"/>
        <w:spacing w:before="194"/>
      </w:pPr>
      <w:r>
        <w:rPr/>
        <w:t>CAPÍTULO III</w:t>
      </w:r>
    </w:p>
    <w:p>
      <w:pPr>
        <w:pStyle w:val="BodyText"/>
        <w:spacing w:before="5"/>
        <w:rPr>
          <w:b/>
        </w:rPr>
      </w:pPr>
    </w:p>
    <w:p>
      <w:pPr>
        <w:spacing w:before="0"/>
        <w:ind w:left="209" w:right="198" w:firstLine="0"/>
        <w:jc w:val="center"/>
        <w:rPr>
          <w:b/>
          <w:sz w:val="24"/>
        </w:rPr>
      </w:pPr>
      <w:r>
        <w:rPr>
          <w:b/>
          <w:sz w:val="24"/>
        </w:rPr>
        <w:t>Disposiciones generales para ambos programas</w:t>
      </w:r>
    </w:p>
    <w:p>
      <w:pPr>
        <w:spacing w:after="0"/>
        <w:jc w:val="center"/>
        <w:rPr>
          <w:sz w:val="24"/>
        </w:rPr>
        <w:sectPr>
          <w:pgSz w:w="12240" w:h="15840"/>
          <w:pgMar w:top="1340" w:bottom="280" w:left="1560" w:right="1580"/>
        </w:sectPr>
      </w:pPr>
    </w:p>
    <w:p>
      <w:pPr>
        <w:pStyle w:val="BodyText"/>
        <w:spacing w:before="74"/>
        <w:ind w:left="141"/>
        <w:jc w:val="both"/>
      </w:pPr>
      <w:r>
        <w:rPr>
          <w:b/>
        </w:rPr>
        <w:t>Artículo 12.- </w:t>
      </w:r>
      <w:r>
        <w:rPr/>
        <w:t>Los programas se impartirán en periodos cuatrimestrales.</w:t>
      </w:r>
    </w:p>
    <w:p>
      <w:pPr>
        <w:pStyle w:val="BodyText"/>
        <w:spacing w:before="7"/>
      </w:pPr>
    </w:p>
    <w:p>
      <w:pPr>
        <w:pStyle w:val="BodyText"/>
        <w:spacing w:line="276" w:lineRule="auto"/>
        <w:ind w:left="141" w:right="126"/>
        <w:jc w:val="both"/>
      </w:pPr>
      <w:r>
        <w:rPr/>
        <w:t>El calendario académico será establecido por el Instituto y aprobado por el Consejo.</w:t>
      </w:r>
    </w:p>
    <w:p>
      <w:pPr>
        <w:pStyle w:val="BodyText"/>
        <w:spacing w:before="9"/>
        <w:rPr>
          <w:sz w:val="20"/>
        </w:rPr>
      </w:pPr>
    </w:p>
    <w:p>
      <w:pPr>
        <w:pStyle w:val="BodyText"/>
        <w:spacing w:line="276" w:lineRule="auto"/>
        <w:ind w:left="141" w:right="121"/>
        <w:jc w:val="both"/>
      </w:pPr>
      <w:r>
        <w:rPr>
          <w:b/>
        </w:rPr>
        <w:t>Artículo 13.- </w:t>
      </w:r>
      <w:r>
        <w:rPr/>
        <w:t>El Consejo establecerá las cuotas y el cupo mínimo y máximo del alumnado en cada programa.</w:t>
      </w:r>
    </w:p>
    <w:p>
      <w:pPr>
        <w:pStyle w:val="BodyText"/>
        <w:spacing w:before="11"/>
        <w:rPr>
          <w:sz w:val="20"/>
        </w:rPr>
      </w:pPr>
    </w:p>
    <w:p>
      <w:pPr>
        <w:pStyle w:val="BodyText"/>
        <w:spacing w:line="276" w:lineRule="auto"/>
        <w:ind w:left="141" w:right="127"/>
        <w:jc w:val="both"/>
      </w:pPr>
      <w:r>
        <w:rPr>
          <w:b/>
        </w:rPr>
        <w:t>Artículo 14.- </w:t>
      </w:r>
      <w:r>
        <w:rPr/>
        <w:t>El Instituto emitirá la convocatoria correspondiente, la cual contendrá los requisitos de selección e ingreso para cada uno de los Programas.</w:t>
      </w:r>
    </w:p>
    <w:p>
      <w:pPr>
        <w:pStyle w:val="BodyText"/>
        <w:rPr>
          <w:sz w:val="26"/>
        </w:rPr>
      </w:pPr>
    </w:p>
    <w:p>
      <w:pPr>
        <w:pStyle w:val="BodyText"/>
        <w:rPr>
          <w:sz w:val="26"/>
        </w:rPr>
      </w:pPr>
    </w:p>
    <w:p>
      <w:pPr>
        <w:pStyle w:val="BodyText"/>
        <w:spacing w:line="278" w:lineRule="auto" w:before="198"/>
        <w:ind w:left="141" w:right="122"/>
        <w:jc w:val="both"/>
      </w:pPr>
      <w:r>
        <w:rPr>
          <w:b/>
        </w:rPr>
        <w:t>Artículo 15.- </w:t>
      </w:r>
      <w:r>
        <w:rPr/>
        <w:t>Dicha Convocatoria deberá contener los siguientes requisitos mínimos:</w:t>
      </w:r>
    </w:p>
    <w:p>
      <w:pPr>
        <w:pStyle w:val="BodyText"/>
        <w:spacing w:before="5"/>
        <w:rPr>
          <w:sz w:val="20"/>
        </w:rPr>
      </w:pPr>
    </w:p>
    <w:p>
      <w:pPr>
        <w:pStyle w:val="ListParagraph"/>
        <w:numPr>
          <w:ilvl w:val="0"/>
          <w:numId w:val="3"/>
        </w:numPr>
        <w:tabs>
          <w:tab w:pos="849" w:val="left" w:leader="none"/>
          <w:tab w:pos="850" w:val="left" w:leader="none"/>
        </w:tabs>
        <w:spacing w:line="240" w:lineRule="auto" w:before="1" w:after="0"/>
        <w:ind w:left="849" w:right="0" w:hanging="416"/>
        <w:jc w:val="left"/>
        <w:rPr>
          <w:sz w:val="24"/>
        </w:rPr>
      </w:pPr>
      <w:r>
        <w:rPr>
          <w:sz w:val="24"/>
        </w:rPr>
        <w:t>Plazos;</w:t>
      </w:r>
    </w:p>
    <w:p>
      <w:pPr>
        <w:pStyle w:val="ListParagraph"/>
        <w:numPr>
          <w:ilvl w:val="0"/>
          <w:numId w:val="3"/>
        </w:numPr>
        <w:tabs>
          <w:tab w:pos="849" w:val="left" w:leader="none"/>
          <w:tab w:pos="850" w:val="left" w:leader="none"/>
        </w:tabs>
        <w:spacing w:line="240" w:lineRule="auto" w:before="40" w:after="0"/>
        <w:ind w:left="849" w:right="0" w:hanging="483"/>
        <w:jc w:val="left"/>
        <w:rPr>
          <w:sz w:val="24"/>
        </w:rPr>
      </w:pPr>
      <w:r>
        <w:rPr>
          <w:sz w:val="24"/>
        </w:rPr>
        <w:t>Cupos mínimo y</w:t>
      </w:r>
      <w:r>
        <w:rPr>
          <w:spacing w:val="-6"/>
          <w:sz w:val="24"/>
        </w:rPr>
        <w:t> </w:t>
      </w:r>
      <w:r>
        <w:rPr>
          <w:sz w:val="24"/>
        </w:rPr>
        <w:t>máximo;</w:t>
      </w:r>
    </w:p>
    <w:p>
      <w:pPr>
        <w:pStyle w:val="ListParagraph"/>
        <w:numPr>
          <w:ilvl w:val="0"/>
          <w:numId w:val="3"/>
        </w:numPr>
        <w:tabs>
          <w:tab w:pos="849" w:val="left" w:leader="none"/>
          <w:tab w:pos="850" w:val="left" w:leader="none"/>
        </w:tabs>
        <w:spacing w:line="240" w:lineRule="auto" w:before="41" w:after="0"/>
        <w:ind w:left="849" w:right="0" w:hanging="550"/>
        <w:jc w:val="left"/>
        <w:rPr>
          <w:sz w:val="24"/>
        </w:rPr>
      </w:pPr>
      <w:r>
        <w:rPr>
          <w:sz w:val="24"/>
        </w:rPr>
        <w:t>Proceso de</w:t>
      </w:r>
      <w:r>
        <w:rPr>
          <w:spacing w:val="-3"/>
          <w:sz w:val="24"/>
        </w:rPr>
        <w:t> </w:t>
      </w:r>
      <w:r>
        <w:rPr>
          <w:sz w:val="24"/>
        </w:rPr>
        <w:t>selección;</w:t>
      </w:r>
    </w:p>
    <w:p>
      <w:pPr>
        <w:pStyle w:val="ListParagraph"/>
        <w:numPr>
          <w:ilvl w:val="0"/>
          <w:numId w:val="3"/>
        </w:numPr>
        <w:tabs>
          <w:tab w:pos="849" w:val="left" w:leader="none"/>
          <w:tab w:pos="850" w:val="left" w:leader="none"/>
        </w:tabs>
        <w:spacing w:line="240" w:lineRule="auto" w:before="44" w:after="0"/>
        <w:ind w:left="849" w:right="0" w:hanging="577"/>
        <w:jc w:val="left"/>
        <w:rPr>
          <w:sz w:val="24"/>
        </w:rPr>
      </w:pPr>
      <w:r>
        <w:rPr>
          <w:sz w:val="24"/>
        </w:rPr>
        <w:t>Cuotas;</w:t>
      </w:r>
      <w:r>
        <w:rPr>
          <w:spacing w:val="-2"/>
          <w:sz w:val="24"/>
        </w:rPr>
        <w:t> </w:t>
      </w:r>
      <w:r>
        <w:rPr>
          <w:sz w:val="24"/>
        </w:rPr>
        <w:t>y</w:t>
      </w:r>
    </w:p>
    <w:p>
      <w:pPr>
        <w:pStyle w:val="ListParagraph"/>
        <w:numPr>
          <w:ilvl w:val="0"/>
          <w:numId w:val="3"/>
        </w:numPr>
        <w:tabs>
          <w:tab w:pos="849" w:val="left" w:leader="none"/>
          <w:tab w:pos="850" w:val="left" w:leader="none"/>
        </w:tabs>
        <w:spacing w:line="240" w:lineRule="auto" w:before="40" w:after="0"/>
        <w:ind w:left="849" w:right="0" w:hanging="510"/>
        <w:jc w:val="left"/>
        <w:rPr>
          <w:sz w:val="24"/>
        </w:rPr>
      </w:pPr>
      <w:r>
        <w:rPr>
          <w:sz w:val="24"/>
        </w:rPr>
        <w:t>Requerimientos</w:t>
      </w:r>
      <w:r>
        <w:rPr>
          <w:spacing w:val="-1"/>
          <w:sz w:val="24"/>
        </w:rPr>
        <w:t> </w:t>
      </w:r>
      <w:r>
        <w:rPr>
          <w:sz w:val="24"/>
        </w:rPr>
        <w:t>administrativos</w:t>
      </w:r>
    </w:p>
    <w:p>
      <w:pPr>
        <w:pStyle w:val="BodyText"/>
        <w:spacing w:before="5"/>
      </w:pPr>
    </w:p>
    <w:p>
      <w:pPr>
        <w:pStyle w:val="BodyText"/>
        <w:spacing w:line="276" w:lineRule="auto"/>
        <w:ind w:left="141" w:right="125"/>
        <w:jc w:val="both"/>
      </w:pPr>
      <w:r>
        <w:rPr>
          <w:b/>
        </w:rPr>
        <w:t>Artículo 16.- </w:t>
      </w:r>
      <w:r>
        <w:rPr/>
        <w:t>Los resultados de los procesos de selección serán dados a conocer en los tiempos, lugares y medios que para tal efecto disponga el Instituto.</w:t>
      </w:r>
    </w:p>
    <w:p>
      <w:pPr>
        <w:pStyle w:val="BodyText"/>
        <w:spacing w:before="9"/>
        <w:rPr>
          <w:sz w:val="20"/>
        </w:rPr>
      </w:pPr>
    </w:p>
    <w:p>
      <w:pPr>
        <w:pStyle w:val="BodyText"/>
        <w:spacing w:line="278" w:lineRule="auto"/>
        <w:ind w:left="141" w:right="125"/>
        <w:jc w:val="both"/>
      </w:pPr>
      <w:r>
        <w:rPr>
          <w:b/>
        </w:rPr>
        <w:t>Artículo 17.- </w:t>
      </w:r>
      <w:r>
        <w:rPr/>
        <w:t>El Consejo aprobará en su caso, el otorgamiento de becas y financiamientos y los requisitos de los mismos.</w:t>
      </w:r>
    </w:p>
    <w:p>
      <w:pPr>
        <w:pStyle w:val="BodyText"/>
        <w:rPr>
          <w:sz w:val="26"/>
        </w:rPr>
      </w:pPr>
    </w:p>
    <w:p>
      <w:pPr>
        <w:pStyle w:val="BodyText"/>
        <w:rPr>
          <w:sz w:val="26"/>
        </w:rPr>
      </w:pPr>
    </w:p>
    <w:p>
      <w:pPr>
        <w:pStyle w:val="Heading1"/>
        <w:spacing w:before="195"/>
        <w:ind w:right="195"/>
      </w:pPr>
      <w:r>
        <w:rPr/>
        <w:t>CAPÍTULO IV</w:t>
      </w:r>
    </w:p>
    <w:p>
      <w:pPr>
        <w:pStyle w:val="BodyText"/>
        <w:spacing w:before="4"/>
        <w:rPr>
          <w:b/>
        </w:rPr>
      </w:pPr>
    </w:p>
    <w:p>
      <w:pPr>
        <w:spacing w:before="0"/>
        <w:ind w:left="210" w:right="196" w:firstLine="0"/>
        <w:jc w:val="center"/>
        <w:rPr>
          <w:b/>
          <w:sz w:val="24"/>
        </w:rPr>
      </w:pPr>
      <w:r>
        <w:rPr>
          <w:b/>
          <w:sz w:val="24"/>
        </w:rPr>
        <w:t>Alumnado</w:t>
      </w:r>
    </w:p>
    <w:p>
      <w:pPr>
        <w:pStyle w:val="BodyText"/>
        <w:spacing w:before="8"/>
        <w:rPr>
          <w:b/>
        </w:rPr>
      </w:pPr>
    </w:p>
    <w:p>
      <w:pPr>
        <w:pStyle w:val="BodyText"/>
        <w:spacing w:line="276" w:lineRule="auto"/>
        <w:ind w:left="141" w:right="118"/>
        <w:jc w:val="both"/>
      </w:pPr>
      <w:r>
        <w:rPr>
          <w:b/>
        </w:rPr>
        <w:t>Artículo 18.- </w:t>
      </w:r>
      <w:r>
        <w:rPr/>
        <w:t>Formarán parte del alumnado quienes aprobando los procesos de selección sean admitidos y estén inscritos para cursar alguno de los Programas.</w:t>
      </w:r>
    </w:p>
    <w:p>
      <w:pPr>
        <w:pStyle w:val="BodyText"/>
        <w:spacing w:before="8"/>
        <w:rPr>
          <w:sz w:val="20"/>
        </w:rPr>
      </w:pPr>
    </w:p>
    <w:p>
      <w:pPr>
        <w:pStyle w:val="BodyText"/>
        <w:spacing w:line="276" w:lineRule="auto" w:before="1"/>
        <w:ind w:left="141" w:right="125"/>
        <w:jc w:val="both"/>
      </w:pPr>
      <w:r>
        <w:rPr>
          <w:b/>
        </w:rPr>
        <w:t>Artículo 19.- </w:t>
      </w:r>
      <w:r>
        <w:rPr/>
        <w:t>El Instituto se libera de prestar el servicio educativo por el incumplimiento del pago de las cuotas correspondientes, entendiendo que el alumnado asume todas las implicaciones que de ello se deriven.</w:t>
      </w:r>
    </w:p>
    <w:p>
      <w:pPr>
        <w:pStyle w:val="BodyText"/>
        <w:spacing w:before="10"/>
        <w:rPr>
          <w:sz w:val="20"/>
        </w:rPr>
      </w:pPr>
    </w:p>
    <w:p>
      <w:pPr>
        <w:spacing w:before="0"/>
        <w:ind w:left="141" w:right="0" w:firstLine="0"/>
        <w:jc w:val="both"/>
        <w:rPr>
          <w:sz w:val="24"/>
        </w:rPr>
      </w:pPr>
      <w:r>
        <w:rPr>
          <w:b/>
          <w:sz w:val="24"/>
        </w:rPr>
        <w:t>Artículo 20.- </w:t>
      </w:r>
      <w:r>
        <w:rPr>
          <w:sz w:val="24"/>
        </w:rPr>
        <w:t>El alumnado será:</w:t>
      </w:r>
    </w:p>
    <w:p>
      <w:pPr>
        <w:spacing w:after="0"/>
        <w:jc w:val="both"/>
        <w:rPr>
          <w:sz w:val="24"/>
        </w:rPr>
        <w:sectPr>
          <w:pgSz w:w="12240" w:h="15840"/>
          <w:pgMar w:top="1340" w:bottom="280" w:left="1560" w:right="1580"/>
        </w:sectPr>
      </w:pPr>
    </w:p>
    <w:p>
      <w:pPr>
        <w:pStyle w:val="ListParagraph"/>
        <w:numPr>
          <w:ilvl w:val="1"/>
          <w:numId w:val="3"/>
        </w:numPr>
        <w:tabs>
          <w:tab w:pos="850" w:val="left" w:leader="none"/>
        </w:tabs>
        <w:spacing w:line="278" w:lineRule="auto" w:before="74" w:after="0"/>
        <w:ind w:left="849" w:right="126" w:hanging="416"/>
        <w:jc w:val="both"/>
        <w:rPr>
          <w:sz w:val="24"/>
        </w:rPr>
      </w:pPr>
      <w:r>
        <w:rPr>
          <w:sz w:val="24"/>
        </w:rPr>
        <w:t>Regular: quienes se encuentren al corriente en el cumplimiento de los requisitos, tanto académicos como administrativos;</w:t>
      </w:r>
      <w:r>
        <w:rPr>
          <w:spacing w:val="-5"/>
          <w:sz w:val="24"/>
        </w:rPr>
        <w:t> </w:t>
      </w:r>
      <w:r>
        <w:rPr>
          <w:sz w:val="24"/>
        </w:rPr>
        <w:t>y</w:t>
      </w:r>
    </w:p>
    <w:p>
      <w:pPr>
        <w:pStyle w:val="ListParagraph"/>
        <w:numPr>
          <w:ilvl w:val="1"/>
          <w:numId w:val="3"/>
        </w:numPr>
        <w:tabs>
          <w:tab w:pos="850" w:val="left" w:leader="none"/>
        </w:tabs>
        <w:spacing w:line="276" w:lineRule="auto" w:before="0" w:after="0"/>
        <w:ind w:left="849" w:right="120" w:hanging="483"/>
        <w:jc w:val="both"/>
        <w:rPr>
          <w:sz w:val="24"/>
        </w:rPr>
      </w:pPr>
      <w:r>
        <w:rPr>
          <w:sz w:val="24"/>
        </w:rPr>
        <w:t>Condicional: quienes cursen el siguiente período </w:t>
      </w:r>
      <w:r>
        <w:rPr>
          <w:spacing w:val="2"/>
          <w:sz w:val="24"/>
        </w:rPr>
        <w:t>del </w:t>
      </w:r>
      <w:r>
        <w:rPr>
          <w:sz w:val="24"/>
        </w:rPr>
        <w:t>programa académico respectivo, adeudando requisitos del periodo inmediato anterior. El alumnado condicional deberá contar con la autorización de la</w:t>
      </w:r>
      <w:r>
        <w:rPr>
          <w:spacing w:val="-27"/>
          <w:sz w:val="24"/>
        </w:rPr>
        <w:t> </w:t>
      </w:r>
      <w:r>
        <w:rPr>
          <w:sz w:val="24"/>
        </w:rPr>
        <w:t>Dirección.</w:t>
      </w:r>
    </w:p>
    <w:p>
      <w:pPr>
        <w:pStyle w:val="BodyText"/>
        <w:spacing w:before="6"/>
        <w:rPr>
          <w:sz w:val="20"/>
        </w:rPr>
      </w:pPr>
    </w:p>
    <w:p>
      <w:pPr>
        <w:pStyle w:val="BodyText"/>
        <w:spacing w:line="276" w:lineRule="auto"/>
        <w:ind w:left="141" w:right="126"/>
        <w:jc w:val="both"/>
      </w:pPr>
      <w:r>
        <w:rPr>
          <w:b/>
        </w:rPr>
        <w:t>Artículo 21.- </w:t>
      </w:r>
      <w:r>
        <w:rPr/>
        <w:t>Con el propósito de conformar el Consejo Académico, al inicio de cada Programa el alumnado deberá nombrar a su representante ante el Consejo Académico.</w:t>
      </w:r>
    </w:p>
    <w:p>
      <w:pPr>
        <w:pStyle w:val="BodyText"/>
        <w:spacing w:before="8"/>
        <w:rPr>
          <w:sz w:val="20"/>
        </w:rPr>
      </w:pPr>
    </w:p>
    <w:p>
      <w:pPr>
        <w:pStyle w:val="BodyText"/>
        <w:spacing w:line="276" w:lineRule="auto" w:before="1"/>
        <w:ind w:left="141" w:right="128"/>
        <w:jc w:val="both"/>
      </w:pPr>
      <w:r>
        <w:rPr/>
        <w:t>La forma de elegir se dejará a consideración del propio alumnado, con la salvedad, de que deberá realizarse dentro de las primeras dos sesiones y deberá ser notificada por escrito a la</w:t>
      </w:r>
      <w:r>
        <w:rPr>
          <w:spacing w:val="-1"/>
        </w:rPr>
        <w:t> </w:t>
      </w:r>
      <w:r>
        <w:rPr/>
        <w:t>Coordinación.</w:t>
      </w:r>
    </w:p>
    <w:p>
      <w:pPr>
        <w:pStyle w:val="BodyText"/>
        <w:spacing w:before="10"/>
        <w:rPr>
          <w:sz w:val="20"/>
        </w:rPr>
      </w:pPr>
    </w:p>
    <w:p>
      <w:pPr>
        <w:pStyle w:val="BodyText"/>
        <w:spacing w:line="276" w:lineRule="auto"/>
        <w:ind w:left="141" w:right="125"/>
        <w:jc w:val="both"/>
      </w:pPr>
      <w:r>
        <w:rPr>
          <w:b/>
        </w:rPr>
        <w:t>Artículo 22</w:t>
      </w:r>
      <w:r>
        <w:rPr/>
        <w:t>.- Dentro de los Programas el alumnado tendrá los siguientes derechos y obligaciones:</w:t>
      </w:r>
    </w:p>
    <w:p>
      <w:pPr>
        <w:pStyle w:val="BodyText"/>
        <w:rPr>
          <w:sz w:val="21"/>
        </w:rPr>
      </w:pPr>
    </w:p>
    <w:p>
      <w:pPr>
        <w:pStyle w:val="ListParagraph"/>
        <w:numPr>
          <w:ilvl w:val="0"/>
          <w:numId w:val="4"/>
        </w:numPr>
        <w:tabs>
          <w:tab w:pos="849" w:val="left" w:leader="none"/>
          <w:tab w:pos="850" w:val="left" w:leader="none"/>
        </w:tabs>
        <w:spacing w:line="240" w:lineRule="auto" w:before="0" w:after="0"/>
        <w:ind w:left="849" w:right="0" w:hanging="416"/>
        <w:jc w:val="left"/>
        <w:rPr>
          <w:sz w:val="24"/>
        </w:rPr>
      </w:pPr>
      <w:r>
        <w:rPr>
          <w:sz w:val="24"/>
        </w:rPr>
        <w:t>Recibir la formación académica prevista en el plan de estudios</w:t>
      </w:r>
      <w:r>
        <w:rPr>
          <w:spacing w:val="-32"/>
          <w:sz w:val="24"/>
        </w:rPr>
        <w:t> </w:t>
      </w:r>
      <w:r>
        <w:rPr>
          <w:sz w:val="24"/>
        </w:rPr>
        <w:t>respectivo;</w:t>
      </w:r>
    </w:p>
    <w:p>
      <w:pPr>
        <w:pStyle w:val="ListParagraph"/>
        <w:numPr>
          <w:ilvl w:val="0"/>
          <w:numId w:val="4"/>
        </w:numPr>
        <w:tabs>
          <w:tab w:pos="849" w:val="left" w:leader="none"/>
          <w:tab w:pos="850" w:val="left" w:leader="none"/>
        </w:tabs>
        <w:spacing w:line="276" w:lineRule="auto" w:before="41" w:after="0"/>
        <w:ind w:left="849" w:right="117" w:hanging="483"/>
        <w:jc w:val="left"/>
        <w:rPr>
          <w:sz w:val="24"/>
        </w:rPr>
      </w:pPr>
      <w:r>
        <w:rPr>
          <w:sz w:val="24"/>
        </w:rPr>
        <w:t>Participar en las actividades de docencia, investigación y extensión del Instituto;</w:t>
      </w:r>
    </w:p>
    <w:p>
      <w:pPr>
        <w:pStyle w:val="ListParagraph"/>
        <w:numPr>
          <w:ilvl w:val="0"/>
          <w:numId w:val="4"/>
        </w:numPr>
        <w:tabs>
          <w:tab w:pos="849" w:val="left" w:leader="none"/>
          <w:tab w:pos="850" w:val="left" w:leader="none"/>
        </w:tabs>
        <w:spacing w:line="275" w:lineRule="exact" w:before="0" w:after="0"/>
        <w:ind w:left="849" w:right="0" w:hanging="550"/>
        <w:jc w:val="left"/>
        <w:rPr>
          <w:sz w:val="24"/>
        </w:rPr>
      </w:pPr>
      <w:r>
        <w:rPr>
          <w:sz w:val="24"/>
        </w:rPr>
        <w:t>Asistir puntualmente y participar activamente en el</w:t>
      </w:r>
      <w:r>
        <w:rPr>
          <w:spacing w:val="-15"/>
          <w:sz w:val="24"/>
        </w:rPr>
        <w:t> </w:t>
      </w:r>
      <w:r>
        <w:rPr>
          <w:sz w:val="24"/>
        </w:rPr>
        <w:t>programa;</w:t>
      </w:r>
    </w:p>
    <w:p>
      <w:pPr>
        <w:pStyle w:val="ListParagraph"/>
        <w:numPr>
          <w:ilvl w:val="0"/>
          <w:numId w:val="4"/>
        </w:numPr>
        <w:tabs>
          <w:tab w:pos="849" w:val="left" w:leader="none"/>
          <w:tab w:pos="850" w:val="left" w:leader="none"/>
        </w:tabs>
        <w:spacing w:line="240" w:lineRule="auto" w:before="41" w:after="0"/>
        <w:ind w:left="849" w:right="0" w:hanging="577"/>
        <w:jc w:val="left"/>
        <w:rPr>
          <w:sz w:val="24"/>
        </w:rPr>
      </w:pPr>
      <w:r>
        <w:rPr>
          <w:sz w:val="24"/>
        </w:rPr>
        <w:t>Recibir asesoría y apoyo</w:t>
      </w:r>
      <w:r>
        <w:rPr>
          <w:spacing w:val="-5"/>
          <w:sz w:val="24"/>
        </w:rPr>
        <w:t> </w:t>
      </w:r>
      <w:r>
        <w:rPr>
          <w:sz w:val="24"/>
        </w:rPr>
        <w:t>académico;</w:t>
      </w:r>
    </w:p>
    <w:p>
      <w:pPr>
        <w:pStyle w:val="ListParagraph"/>
        <w:numPr>
          <w:ilvl w:val="0"/>
          <w:numId w:val="4"/>
        </w:numPr>
        <w:tabs>
          <w:tab w:pos="849" w:val="left" w:leader="none"/>
          <w:tab w:pos="850" w:val="left" w:leader="none"/>
        </w:tabs>
        <w:spacing w:line="276" w:lineRule="auto" w:before="43" w:after="0"/>
        <w:ind w:left="849" w:right="126" w:hanging="509"/>
        <w:jc w:val="left"/>
        <w:rPr>
          <w:sz w:val="24"/>
        </w:rPr>
      </w:pPr>
      <w:r>
        <w:rPr>
          <w:sz w:val="24"/>
        </w:rPr>
        <w:t>Al inicio de cada curso recibir el programa correspondiente y ser informados sobre las formas de</w:t>
      </w:r>
      <w:r>
        <w:rPr>
          <w:spacing w:val="-3"/>
          <w:sz w:val="24"/>
        </w:rPr>
        <w:t> </w:t>
      </w:r>
      <w:r>
        <w:rPr>
          <w:sz w:val="24"/>
        </w:rPr>
        <w:t>evaluación;</w:t>
      </w:r>
    </w:p>
    <w:p>
      <w:pPr>
        <w:pStyle w:val="ListParagraph"/>
        <w:numPr>
          <w:ilvl w:val="0"/>
          <w:numId w:val="4"/>
        </w:numPr>
        <w:tabs>
          <w:tab w:pos="849" w:val="left" w:leader="none"/>
          <w:tab w:pos="850" w:val="left" w:leader="none"/>
        </w:tabs>
        <w:spacing w:line="276" w:lineRule="auto" w:before="0" w:after="0"/>
        <w:ind w:left="849" w:right="121" w:hanging="576"/>
        <w:jc w:val="left"/>
        <w:rPr>
          <w:sz w:val="24"/>
        </w:rPr>
      </w:pPr>
      <w:r>
        <w:rPr>
          <w:sz w:val="24"/>
        </w:rPr>
        <w:t>Conocer el resultado de los exámenes oportunamente, para recibir retroalimentación en su avance</w:t>
      </w:r>
      <w:r>
        <w:rPr>
          <w:spacing w:val="-4"/>
          <w:sz w:val="24"/>
        </w:rPr>
        <w:t> </w:t>
      </w:r>
      <w:r>
        <w:rPr>
          <w:sz w:val="24"/>
        </w:rPr>
        <w:t>académico;</w:t>
      </w:r>
    </w:p>
    <w:p>
      <w:pPr>
        <w:pStyle w:val="ListParagraph"/>
        <w:numPr>
          <w:ilvl w:val="0"/>
          <w:numId w:val="4"/>
        </w:numPr>
        <w:tabs>
          <w:tab w:pos="849" w:val="left" w:leader="none"/>
          <w:tab w:pos="850" w:val="left" w:leader="none"/>
        </w:tabs>
        <w:spacing w:line="240" w:lineRule="auto" w:before="0" w:after="0"/>
        <w:ind w:left="849" w:right="0" w:hanging="644"/>
        <w:jc w:val="left"/>
        <w:rPr>
          <w:sz w:val="24"/>
        </w:rPr>
      </w:pPr>
      <w:r>
        <w:rPr>
          <w:sz w:val="24"/>
        </w:rPr>
        <w:t>Satisfacer los requerimientos de asistencia y</w:t>
      </w:r>
      <w:r>
        <w:rPr>
          <w:spacing w:val="-12"/>
          <w:sz w:val="24"/>
        </w:rPr>
        <w:t> </w:t>
      </w:r>
      <w:r>
        <w:rPr>
          <w:sz w:val="24"/>
        </w:rPr>
        <w:t>puntualidad;</w:t>
      </w:r>
    </w:p>
    <w:p>
      <w:pPr>
        <w:pStyle w:val="ListParagraph"/>
        <w:numPr>
          <w:ilvl w:val="0"/>
          <w:numId w:val="4"/>
        </w:numPr>
        <w:tabs>
          <w:tab w:pos="849" w:val="left" w:leader="none"/>
          <w:tab w:pos="850" w:val="left" w:leader="none"/>
        </w:tabs>
        <w:spacing w:line="240" w:lineRule="auto" w:before="41" w:after="0"/>
        <w:ind w:left="849" w:right="0" w:hanging="709"/>
        <w:jc w:val="left"/>
        <w:rPr>
          <w:sz w:val="24"/>
        </w:rPr>
      </w:pPr>
      <w:r>
        <w:rPr>
          <w:sz w:val="24"/>
        </w:rPr>
        <w:t>Observar una conducta de respeto hacia las opiniones y puntos de</w:t>
      </w:r>
      <w:r>
        <w:rPr>
          <w:spacing w:val="-30"/>
          <w:sz w:val="24"/>
        </w:rPr>
        <w:t> </w:t>
      </w:r>
      <w:r>
        <w:rPr>
          <w:sz w:val="24"/>
        </w:rPr>
        <w:t>vista;</w:t>
      </w:r>
    </w:p>
    <w:p>
      <w:pPr>
        <w:pStyle w:val="ListParagraph"/>
        <w:numPr>
          <w:ilvl w:val="0"/>
          <w:numId w:val="4"/>
        </w:numPr>
        <w:tabs>
          <w:tab w:pos="849" w:val="left" w:leader="none"/>
          <w:tab w:pos="850" w:val="left" w:leader="none"/>
        </w:tabs>
        <w:spacing w:line="240" w:lineRule="auto" w:before="41" w:after="0"/>
        <w:ind w:left="849" w:right="0" w:hanging="577"/>
        <w:jc w:val="left"/>
        <w:rPr>
          <w:sz w:val="24"/>
        </w:rPr>
      </w:pPr>
      <w:r>
        <w:rPr>
          <w:sz w:val="24"/>
        </w:rPr>
        <w:t>Actuar con ética y honestidad en las actividades</w:t>
      </w:r>
      <w:r>
        <w:rPr>
          <w:spacing w:val="-12"/>
          <w:sz w:val="24"/>
        </w:rPr>
        <w:t> </w:t>
      </w:r>
      <w:r>
        <w:rPr>
          <w:sz w:val="24"/>
        </w:rPr>
        <w:t>académicas;</w:t>
      </w:r>
    </w:p>
    <w:p>
      <w:pPr>
        <w:pStyle w:val="ListParagraph"/>
        <w:numPr>
          <w:ilvl w:val="0"/>
          <w:numId w:val="4"/>
        </w:numPr>
        <w:tabs>
          <w:tab w:pos="849" w:val="left" w:leader="none"/>
          <w:tab w:pos="850" w:val="left" w:leader="none"/>
        </w:tabs>
        <w:spacing w:line="240" w:lineRule="auto" w:before="40" w:after="0"/>
        <w:ind w:left="849" w:right="0" w:hanging="510"/>
        <w:jc w:val="left"/>
        <w:rPr>
          <w:sz w:val="24"/>
        </w:rPr>
      </w:pPr>
      <w:r>
        <w:rPr>
          <w:sz w:val="24"/>
        </w:rPr>
        <w:t>Hacer uso adecuado de las</w:t>
      </w:r>
      <w:r>
        <w:rPr>
          <w:spacing w:val="-6"/>
          <w:sz w:val="24"/>
        </w:rPr>
        <w:t> </w:t>
      </w:r>
      <w:r>
        <w:rPr>
          <w:sz w:val="24"/>
        </w:rPr>
        <w:t>instalaciones;</w:t>
      </w:r>
    </w:p>
    <w:p>
      <w:pPr>
        <w:pStyle w:val="ListParagraph"/>
        <w:numPr>
          <w:ilvl w:val="0"/>
          <w:numId w:val="4"/>
        </w:numPr>
        <w:tabs>
          <w:tab w:pos="849" w:val="left" w:leader="none"/>
          <w:tab w:pos="850" w:val="left" w:leader="none"/>
        </w:tabs>
        <w:spacing w:line="240" w:lineRule="auto" w:before="44" w:after="0"/>
        <w:ind w:left="849" w:right="0" w:hanging="577"/>
        <w:jc w:val="left"/>
        <w:rPr>
          <w:sz w:val="24"/>
        </w:rPr>
      </w:pPr>
      <w:r>
        <w:rPr>
          <w:sz w:val="24"/>
        </w:rPr>
        <w:t>Cubrir oportunamente las cuotas</w:t>
      </w:r>
      <w:r>
        <w:rPr>
          <w:spacing w:val="-5"/>
          <w:sz w:val="24"/>
        </w:rPr>
        <w:t> </w:t>
      </w:r>
      <w:r>
        <w:rPr>
          <w:sz w:val="24"/>
        </w:rPr>
        <w:t>establecidas;</w:t>
      </w:r>
    </w:p>
    <w:p>
      <w:pPr>
        <w:pStyle w:val="ListParagraph"/>
        <w:numPr>
          <w:ilvl w:val="0"/>
          <w:numId w:val="4"/>
        </w:numPr>
        <w:tabs>
          <w:tab w:pos="849" w:val="left" w:leader="none"/>
          <w:tab w:pos="850" w:val="left" w:leader="none"/>
        </w:tabs>
        <w:spacing w:line="240" w:lineRule="auto" w:before="40" w:after="0"/>
        <w:ind w:left="849" w:right="0" w:hanging="644"/>
        <w:jc w:val="left"/>
        <w:rPr>
          <w:sz w:val="24"/>
        </w:rPr>
      </w:pPr>
      <w:r>
        <w:rPr>
          <w:sz w:val="24"/>
        </w:rPr>
        <w:t>Recusar al personal docente cuando exista alguna causa</w:t>
      </w:r>
      <w:r>
        <w:rPr>
          <w:spacing w:val="-17"/>
          <w:sz w:val="24"/>
        </w:rPr>
        <w:t> </w:t>
      </w:r>
      <w:r>
        <w:rPr>
          <w:sz w:val="24"/>
        </w:rPr>
        <w:t>justificada;</w:t>
      </w:r>
    </w:p>
    <w:p>
      <w:pPr>
        <w:pStyle w:val="ListParagraph"/>
        <w:numPr>
          <w:ilvl w:val="0"/>
          <w:numId w:val="4"/>
        </w:numPr>
        <w:tabs>
          <w:tab w:pos="849" w:val="left" w:leader="none"/>
          <w:tab w:pos="850" w:val="left" w:leader="none"/>
        </w:tabs>
        <w:spacing w:line="276" w:lineRule="auto" w:before="41" w:after="0"/>
        <w:ind w:left="849" w:right="127" w:hanging="708"/>
        <w:jc w:val="left"/>
        <w:rPr>
          <w:sz w:val="24"/>
        </w:rPr>
      </w:pPr>
      <w:r>
        <w:rPr>
          <w:sz w:val="24"/>
        </w:rPr>
        <w:t>Obtener credencial que los acredite como estudiantes del programa que corresponda;</w:t>
      </w:r>
    </w:p>
    <w:p>
      <w:pPr>
        <w:pStyle w:val="ListParagraph"/>
        <w:numPr>
          <w:ilvl w:val="0"/>
          <w:numId w:val="4"/>
        </w:numPr>
        <w:tabs>
          <w:tab w:pos="849" w:val="left" w:leader="none"/>
          <w:tab w:pos="850" w:val="left" w:leader="none"/>
        </w:tabs>
        <w:spacing w:line="240" w:lineRule="auto" w:before="2" w:after="0"/>
        <w:ind w:left="849" w:right="0" w:hanging="735"/>
        <w:jc w:val="left"/>
        <w:rPr>
          <w:sz w:val="24"/>
        </w:rPr>
      </w:pPr>
      <w:r>
        <w:rPr>
          <w:sz w:val="24"/>
        </w:rPr>
        <w:t>Tener acceso a la Biblioteca Gabino Fraga del</w:t>
      </w:r>
      <w:r>
        <w:rPr>
          <w:spacing w:val="-14"/>
          <w:sz w:val="24"/>
        </w:rPr>
        <w:t> </w:t>
      </w:r>
      <w:r>
        <w:rPr>
          <w:sz w:val="24"/>
        </w:rPr>
        <w:t>Tribunal;</w:t>
      </w:r>
    </w:p>
    <w:p>
      <w:pPr>
        <w:pStyle w:val="ListParagraph"/>
        <w:numPr>
          <w:ilvl w:val="0"/>
          <w:numId w:val="4"/>
        </w:numPr>
        <w:tabs>
          <w:tab w:pos="849" w:val="left" w:leader="none"/>
          <w:tab w:pos="850" w:val="left" w:leader="none"/>
        </w:tabs>
        <w:spacing w:line="240" w:lineRule="auto" w:before="40" w:after="0"/>
        <w:ind w:left="849" w:right="0" w:hanging="670"/>
        <w:jc w:val="left"/>
        <w:rPr>
          <w:sz w:val="24"/>
        </w:rPr>
      </w:pPr>
      <w:r>
        <w:rPr>
          <w:sz w:val="24"/>
        </w:rPr>
        <w:t>Evaluar al personal docente profesores;</w:t>
      </w:r>
      <w:r>
        <w:rPr>
          <w:spacing w:val="-7"/>
          <w:sz w:val="24"/>
        </w:rPr>
        <w:t> </w:t>
      </w:r>
      <w:r>
        <w:rPr>
          <w:sz w:val="24"/>
        </w:rPr>
        <w:t>y</w:t>
      </w:r>
    </w:p>
    <w:p>
      <w:pPr>
        <w:pStyle w:val="ListParagraph"/>
        <w:numPr>
          <w:ilvl w:val="0"/>
          <w:numId w:val="4"/>
        </w:numPr>
        <w:tabs>
          <w:tab w:pos="849" w:val="left" w:leader="none"/>
          <w:tab w:pos="850" w:val="left" w:leader="none"/>
        </w:tabs>
        <w:spacing w:line="276" w:lineRule="auto" w:before="41" w:after="0"/>
        <w:ind w:left="849" w:right="125" w:hanging="735"/>
        <w:jc w:val="left"/>
        <w:rPr>
          <w:sz w:val="24"/>
        </w:rPr>
      </w:pPr>
      <w:r>
        <w:rPr>
          <w:sz w:val="24"/>
        </w:rPr>
        <w:t>Todas las demás que se desprendan del presente Reglamento o de las disposiciones emitidas por las autoridades académicas del</w:t>
      </w:r>
      <w:r>
        <w:rPr>
          <w:spacing w:val="-19"/>
          <w:sz w:val="24"/>
        </w:rPr>
        <w:t> </w:t>
      </w:r>
      <w:r>
        <w:rPr>
          <w:sz w:val="24"/>
        </w:rPr>
        <w:t>Tribunal.</w:t>
      </w:r>
    </w:p>
    <w:p>
      <w:pPr>
        <w:pStyle w:val="BodyText"/>
        <w:rPr>
          <w:sz w:val="21"/>
        </w:rPr>
      </w:pPr>
    </w:p>
    <w:p>
      <w:pPr>
        <w:pStyle w:val="BodyText"/>
        <w:spacing w:line="276" w:lineRule="auto"/>
        <w:ind w:left="141" w:right="124"/>
        <w:jc w:val="both"/>
      </w:pPr>
      <w:r>
        <w:rPr>
          <w:b/>
        </w:rPr>
        <w:t>Artículo 23.- </w:t>
      </w:r>
      <w:r>
        <w:rPr/>
        <w:t>Causarán baja del programa respectivo, el alumnado que se encuentren en los siguientes supuestos:</w:t>
      </w:r>
    </w:p>
    <w:p>
      <w:pPr>
        <w:spacing w:after="0" w:line="276" w:lineRule="auto"/>
        <w:jc w:val="both"/>
        <w:sectPr>
          <w:pgSz w:w="12240" w:h="15840"/>
          <w:pgMar w:top="1340" w:bottom="280" w:left="1560" w:right="1580"/>
        </w:sectPr>
      </w:pPr>
    </w:p>
    <w:p>
      <w:pPr>
        <w:pStyle w:val="ListParagraph"/>
        <w:numPr>
          <w:ilvl w:val="1"/>
          <w:numId w:val="4"/>
        </w:numPr>
        <w:tabs>
          <w:tab w:pos="849" w:val="left" w:leader="none"/>
          <w:tab w:pos="850" w:val="left" w:leader="none"/>
        </w:tabs>
        <w:spacing w:line="240" w:lineRule="auto" w:before="74" w:after="0"/>
        <w:ind w:left="849" w:right="0" w:hanging="416"/>
        <w:jc w:val="left"/>
        <w:rPr>
          <w:sz w:val="24"/>
        </w:rPr>
      </w:pPr>
      <w:r>
        <w:rPr>
          <w:sz w:val="24"/>
        </w:rPr>
        <w:t>Cuando no cumplan con las cuotas de</w:t>
      </w:r>
      <w:r>
        <w:rPr>
          <w:spacing w:val="-5"/>
          <w:sz w:val="24"/>
        </w:rPr>
        <w:t> </w:t>
      </w:r>
      <w:r>
        <w:rPr>
          <w:sz w:val="24"/>
        </w:rPr>
        <w:t>recuperación;</w:t>
      </w:r>
    </w:p>
    <w:p>
      <w:pPr>
        <w:pStyle w:val="ListParagraph"/>
        <w:numPr>
          <w:ilvl w:val="1"/>
          <w:numId w:val="4"/>
        </w:numPr>
        <w:tabs>
          <w:tab w:pos="849" w:val="left" w:leader="none"/>
          <w:tab w:pos="850" w:val="left" w:leader="none"/>
        </w:tabs>
        <w:spacing w:line="240" w:lineRule="auto" w:before="43" w:after="0"/>
        <w:ind w:left="849" w:right="0" w:hanging="483"/>
        <w:jc w:val="left"/>
        <w:rPr>
          <w:sz w:val="24"/>
        </w:rPr>
      </w:pPr>
      <w:r>
        <w:rPr>
          <w:sz w:val="24"/>
        </w:rPr>
        <w:t>Cuando no aprueben el examen de</w:t>
      </w:r>
      <w:r>
        <w:rPr>
          <w:spacing w:val="-8"/>
          <w:sz w:val="24"/>
        </w:rPr>
        <w:t> </w:t>
      </w:r>
      <w:r>
        <w:rPr>
          <w:sz w:val="24"/>
        </w:rPr>
        <w:t>regularización;</w:t>
      </w:r>
    </w:p>
    <w:p>
      <w:pPr>
        <w:pStyle w:val="ListParagraph"/>
        <w:numPr>
          <w:ilvl w:val="1"/>
          <w:numId w:val="4"/>
        </w:numPr>
        <w:tabs>
          <w:tab w:pos="849" w:val="left" w:leader="none"/>
          <w:tab w:pos="850" w:val="left" w:leader="none"/>
        </w:tabs>
        <w:spacing w:line="276" w:lineRule="auto" w:before="41" w:after="0"/>
        <w:ind w:left="849" w:right="121" w:hanging="550"/>
        <w:jc w:val="left"/>
        <w:rPr>
          <w:sz w:val="24"/>
        </w:rPr>
      </w:pPr>
      <w:r>
        <w:rPr>
          <w:sz w:val="24"/>
        </w:rPr>
        <w:t>En caso de indisciplina o falta grave. En dicho supuesto, se requerirá la intervención del Consejo Académico;</w:t>
      </w:r>
      <w:r>
        <w:rPr>
          <w:spacing w:val="-3"/>
          <w:sz w:val="24"/>
        </w:rPr>
        <w:t> </w:t>
      </w:r>
      <w:r>
        <w:rPr>
          <w:sz w:val="24"/>
        </w:rPr>
        <w:t>y</w:t>
      </w:r>
    </w:p>
    <w:p>
      <w:pPr>
        <w:pStyle w:val="ListParagraph"/>
        <w:numPr>
          <w:ilvl w:val="1"/>
          <w:numId w:val="4"/>
        </w:numPr>
        <w:tabs>
          <w:tab w:pos="849" w:val="left" w:leader="none"/>
          <w:tab w:pos="850" w:val="left" w:leader="none"/>
        </w:tabs>
        <w:spacing w:line="275" w:lineRule="exact" w:before="0" w:after="0"/>
        <w:ind w:left="849" w:right="0" w:hanging="577"/>
        <w:jc w:val="left"/>
        <w:rPr>
          <w:sz w:val="24"/>
        </w:rPr>
      </w:pPr>
      <w:r>
        <w:rPr>
          <w:sz w:val="24"/>
        </w:rPr>
        <w:t>Cuando la alumna o el alumno así lo</w:t>
      </w:r>
      <w:r>
        <w:rPr>
          <w:spacing w:val="-13"/>
          <w:sz w:val="24"/>
        </w:rPr>
        <w:t> </w:t>
      </w:r>
      <w:r>
        <w:rPr>
          <w:sz w:val="24"/>
        </w:rPr>
        <w:t>solicite.</w:t>
      </w:r>
    </w:p>
    <w:p>
      <w:pPr>
        <w:pStyle w:val="BodyText"/>
        <w:spacing w:before="7"/>
      </w:pPr>
    </w:p>
    <w:p>
      <w:pPr>
        <w:pStyle w:val="BodyText"/>
        <w:spacing w:line="276" w:lineRule="auto"/>
        <w:ind w:left="141" w:right="128"/>
        <w:jc w:val="both"/>
      </w:pPr>
      <w:r>
        <w:rPr>
          <w:b/>
        </w:rPr>
        <w:t>Artículo 24.- </w:t>
      </w:r>
      <w:r>
        <w:rPr/>
        <w:t>En los supuestos de las fracciones I, II y III del artículo 23 quedarán excluidos definitivamente del Programa.</w:t>
      </w:r>
    </w:p>
    <w:p>
      <w:pPr>
        <w:pStyle w:val="BodyText"/>
        <w:spacing w:before="9"/>
        <w:rPr>
          <w:sz w:val="20"/>
        </w:rPr>
      </w:pPr>
    </w:p>
    <w:p>
      <w:pPr>
        <w:pStyle w:val="BodyText"/>
        <w:spacing w:line="276" w:lineRule="auto"/>
        <w:ind w:left="141" w:right="123"/>
        <w:jc w:val="both"/>
      </w:pPr>
      <w:r>
        <w:rPr/>
        <w:t>En esos casos se le notificará a la alumna o al alumno por escrito, señalando los motivos y fundamentos que llevaron a tomar esa determinación</w:t>
      </w:r>
    </w:p>
    <w:p>
      <w:pPr>
        <w:pStyle w:val="BodyText"/>
        <w:rPr>
          <w:sz w:val="21"/>
        </w:rPr>
      </w:pPr>
    </w:p>
    <w:p>
      <w:pPr>
        <w:pStyle w:val="BodyText"/>
        <w:spacing w:line="276" w:lineRule="auto"/>
        <w:ind w:left="141" w:right="119"/>
        <w:jc w:val="both"/>
      </w:pPr>
      <w:r>
        <w:rPr/>
        <w:t>En el caso de la fracción IV del artículo 23 la alumna o el alumno deberá hacer la notificación por escrito al Instituto, expresando las razones que motiven su decisión.</w:t>
      </w:r>
    </w:p>
    <w:p>
      <w:pPr>
        <w:pStyle w:val="BodyText"/>
        <w:spacing w:before="8"/>
        <w:rPr>
          <w:sz w:val="20"/>
        </w:rPr>
      </w:pPr>
    </w:p>
    <w:p>
      <w:pPr>
        <w:pStyle w:val="BodyText"/>
        <w:spacing w:line="276" w:lineRule="auto"/>
        <w:ind w:left="141" w:right="127"/>
        <w:jc w:val="both"/>
      </w:pPr>
      <w:r>
        <w:rPr>
          <w:b/>
        </w:rPr>
        <w:t>Artículo 25.- </w:t>
      </w:r>
      <w:r>
        <w:rPr/>
        <w:t>Para poder darse de baja temporal, la alumna o el alumno deberá haber cubierto el pago total del cuatrimestre correspondiente y retomar sus estudios dentro de los tres años siguientes a su baja.</w:t>
      </w:r>
    </w:p>
    <w:p>
      <w:pPr>
        <w:pStyle w:val="BodyText"/>
        <w:spacing w:before="11"/>
        <w:rPr>
          <w:sz w:val="20"/>
        </w:rPr>
      </w:pPr>
    </w:p>
    <w:p>
      <w:pPr>
        <w:pStyle w:val="BodyText"/>
        <w:spacing w:line="276" w:lineRule="auto"/>
        <w:ind w:left="141" w:right="124"/>
        <w:jc w:val="both"/>
      </w:pPr>
      <w:r>
        <w:rPr/>
        <w:t>La alumna o el alumno tendrá derecho a que le sean reconocidas las asignaturas aprobadas, siempre y cuando el plan de estudios no se haya modificado.</w:t>
      </w:r>
    </w:p>
    <w:p>
      <w:pPr>
        <w:pStyle w:val="BodyText"/>
        <w:spacing w:before="8"/>
        <w:rPr>
          <w:sz w:val="20"/>
        </w:rPr>
      </w:pPr>
    </w:p>
    <w:p>
      <w:pPr>
        <w:pStyle w:val="BodyText"/>
        <w:spacing w:line="276" w:lineRule="auto" w:before="1"/>
        <w:ind w:left="141" w:right="122"/>
        <w:jc w:val="both"/>
      </w:pPr>
      <w:r>
        <w:rPr>
          <w:b/>
        </w:rPr>
        <w:t>Artículo 26.- </w:t>
      </w:r>
      <w:r>
        <w:rPr/>
        <w:t>Durante el desarrollo de cada materia, el alumnado podrá someter a consideración del Consejo Académico cualquier inconformidad relativa al ejercicio de la función del personal docente.</w:t>
      </w:r>
    </w:p>
    <w:p>
      <w:pPr>
        <w:pStyle w:val="BodyText"/>
        <w:spacing w:before="10"/>
        <w:rPr>
          <w:sz w:val="20"/>
        </w:rPr>
      </w:pPr>
    </w:p>
    <w:p>
      <w:pPr>
        <w:pStyle w:val="BodyText"/>
        <w:spacing w:line="276" w:lineRule="auto"/>
        <w:ind w:left="141" w:right="127"/>
        <w:jc w:val="both"/>
      </w:pPr>
      <w:r>
        <w:rPr/>
        <w:t>Dicha solicitud deberá ser firmada por la mayoría simple del alumnado regular del Programa correspondiente y entregada al Instituto a través de su representante por escrito, anexando las pruebas y argumentos en los que se</w:t>
      </w:r>
      <w:r>
        <w:rPr>
          <w:spacing w:val="-15"/>
        </w:rPr>
        <w:t> </w:t>
      </w:r>
      <w:r>
        <w:rPr/>
        <w:t>apoye.</w:t>
      </w:r>
    </w:p>
    <w:p>
      <w:pPr>
        <w:pStyle w:val="BodyText"/>
        <w:spacing w:before="11"/>
        <w:rPr>
          <w:sz w:val="20"/>
        </w:rPr>
      </w:pPr>
    </w:p>
    <w:p>
      <w:pPr>
        <w:pStyle w:val="BodyText"/>
        <w:spacing w:line="276" w:lineRule="auto"/>
        <w:ind w:left="141" w:right="128"/>
        <w:jc w:val="both"/>
      </w:pPr>
      <w:r>
        <w:rPr/>
        <w:t>Será el Consejo Académico quien establezca el procedimiento para determinar si existe una falta o infracción y la consecuencia de la misma.</w:t>
      </w:r>
    </w:p>
    <w:p>
      <w:pPr>
        <w:pStyle w:val="BodyText"/>
        <w:rPr>
          <w:sz w:val="26"/>
        </w:rPr>
      </w:pPr>
    </w:p>
    <w:p>
      <w:pPr>
        <w:pStyle w:val="BodyText"/>
        <w:rPr>
          <w:sz w:val="26"/>
        </w:rPr>
      </w:pPr>
    </w:p>
    <w:p>
      <w:pPr>
        <w:pStyle w:val="Heading1"/>
        <w:spacing w:before="200"/>
        <w:ind w:right="195"/>
      </w:pPr>
      <w:r>
        <w:rPr/>
        <w:t>CAPÍTULO V</w:t>
      </w:r>
    </w:p>
    <w:p>
      <w:pPr>
        <w:pStyle w:val="BodyText"/>
        <w:spacing w:before="5"/>
        <w:rPr>
          <w:b/>
        </w:rPr>
      </w:pPr>
    </w:p>
    <w:p>
      <w:pPr>
        <w:spacing w:before="0"/>
        <w:ind w:left="210" w:right="194" w:firstLine="0"/>
        <w:jc w:val="center"/>
        <w:rPr>
          <w:b/>
          <w:sz w:val="24"/>
        </w:rPr>
      </w:pPr>
      <w:r>
        <w:rPr>
          <w:b/>
          <w:sz w:val="24"/>
        </w:rPr>
        <w:t>Personal Docente</w:t>
      </w:r>
    </w:p>
    <w:p>
      <w:pPr>
        <w:pStyle w:val="BodyText"/>
        <w:spacing w:before="5"/>
        <w:rPr>
          <w:b/>
        </w:rPr>
      </w:pPr>
    </w:p>
    <w:p>
      <w:pPr>
        <w:pStyle w:val="BodyText"/>
        <w:spacing w:line="276" w:lineRule="auto"/>
        <w:ind w:left="141" w:right="122"/>
        <w:jc w:val="both"/>
      </w:pPr>
      <w:r>
        <w:rPr>
          <w:b/>
        </w:rPr>
        <w:t>Artículo 27.- </w:t>
      </w:r>
      <w:r>
        <w:rPr/>
        <w:t>Serán personal docente quienes estén inscritos en la plantilla docente propuesta por el Instituto y aprobada por el</w:t>
      </w:r>
      <w:r>
        <w:rPr>
          <w:spacing w:val="-19"/>
        </w:rPr>
        <w:t> </w:t>
      </w:r>
      <w:r>
        <w:rPr/>
        <w:t>Consejo.</w:t>
      </w:r>
    </w:p>
    <w:p>
      <w:pPr>
        <w:pStyle w:val="BodyText"/>
        <w:spacing w:before="11"/>
        <w:rPr>
          <w:sz w:val="20"/>
        </w:rPr>
      </w:pPr>
    </w:p>
    <w:p>
      <w:pPr>
        <w:spacing w:before="0"/>
        <w:ind w:left="141" w:right="0" w:firstLine="0"/>
        <w:jc w:val="both"/>
        <w:rPr>
          <w:sz w:val="24"/>
        </w:rPr>
      </w:pPr>
      <w:r>
        <w:rPr>
          <w:b/>
          <w:sz w:val="24"/>
        </w:rPr>
        <w:t>Artículo 28.- </w:t>
      </w:r>
      <w:r>
        <w:rPr>
          <w:sz w:val="24"/>
        </w:rPr>
        <w:t>Corresponde a quienes sean personal</w:t>
      </w:r>
      <w:r>
        <w:rPr>
          <w:spacing w:val="-30"/>
          <w:sz w:val="24"/>
        </w:rPr>
        <w:t> </w:t>
      </w:r>
      <w:r>
        <w:rPr>
          <w:sz w:val="24"/>
        </w:rPr>
        <w:t>docente:</w:t>
      </w:r>
    </w:p>
    <w:p>
      <w:pPr>
        <w:spacing w:after="0"/>
        <w:jc w:val="both"/>
        <w:rPr>
          <w:sz w:val="24"/>
        </w:rPr>
        <w:sectPr>
          <w:pgSz w:w="12240" w:h="15840"/>
          <w:pgMar w:top="1340" w:bottom="280" w:left="1560" w:right="1580"/>
        </w:sectPr>
      </w:pPr>
    </w:p>
    <w:p>
      <w:pPr>
        <w:pStyle w:val="ListParagraph"/>
        <w:numPr>
          <w:ilvl w:val="0"/>
          <w:numId w:val="5"/>
        </w:numPr>
        <w:tabs>
          <w:tab w:pos="850" w:val="left" w:leader="none"/>
        </w:tabs>
        <w:spacing w:line="240" w:lineRule="auto" w:before="74" w:after="0"/>
        <w:ind w:left="849" w:right="0" w:hanging="416"/>
        <w:jc w:val="both"/>
        <w:rPr>
          <w:sz w:val="24"/>
        </w:rPr>
      </w:pPr>
      <w:r>
        <w:rPr>
          <w:sz w:val="24"/>
        </w:rPr>
        <w:t>Impartir la educación bajo el principio de libertad</w:t>
      </w:r>
      <w:r>
        <w:rPr>
          <w:spacing w:val="-11"/>
          <w:sz w:val="24"/>
        </w:rPr>
        <w:t> </w:t>
      </w:r>
      <w:r>
        <w:rPr>
          <w:sz w:val="24"/>
        </w:rPr>
        <w:t>académica;</w:t>
      </w:r>
    </w:p>
    <w:p>
      <w:pPr>
        <w:pStyle w:val="ListParagraph"/>
        <w:numPr>
          <w:ilvl w:val="0"/>
          <w:numId w:val="5"/>
        </w:numPr>
        <w:tabs>
          <w:tab w:pos="850" w:val="left" w:leader="none"/>
        </w:tabs>
        <w:spacing w:line="276" w:lineRule="auto" w:before="43" w:after="0"/>
        <w:ind w:left="849" w:right="123" w:hanging="483"/>
        <w:jc w:val="both"/>
        <w:rPr>
          <w:sz w:val="24"/>
        </w:rPr>
      </w:pPr>
      <w:r>
        <w:rPr>
          <w:sz w:val="24"/>
        </w:rPr>
        <w:t>Asistir puntualmente a sus cátedras, desarrollar con calidad el proceso de enseñanza, cumpliendo con los programas correspondientes y brindar asesoría académica al</w:t>
      </w:r>
      <w:r>
        <w:rPr>
          <w:spacing w:val="-4"/>
          <w:sz w:val="24"/>
        </w:rPr>
        <w:t> </w:t>
      </w:r>
      <w:r>
        <w:rPr>
          <w:sz w:val="24"/>
        </w:rPr>
        <w:t>alumnado;</w:t>
      </w:r>
    </w:p>
    <w:p>
      <w:pPr>
        <w:pStyle w:val="ListParagraph"/>
        <w:numPr>
          <w:ilvl w:val="0"/>
          <w:numId w:val="5"/>
        </w:numPr>
        <w:tabs>
          <w:tab w:pos="850" w:val="left" w:leader="none"/>
        </w:tabs>
        <w:spacing w:line="278" w:lineRule="auto" w:before="0" w:after="0"/>
        <w:ind w:left="849" w:right="127" w:hanging="550"/>
        <w:jc w:val="both"/>
        <w:rPr>
          <w:sz w:val="24"/>
        </w:rPr>
      </w:pPr>
      <w:r>
        <w:rPr>
          <w:sz w:val="24"/>
        </w:rPr>
        <w:t>Planear, organizar, impartir y evaluar los cursos que les correspondan conforme al plan y programa de estudios aprobado por la</w:t>
      </w:r>
      <w:r>
        <w:rPr>
          <w:spacing w:val="-16"/>
          <w:sz w:val="24"/>
        </w:rPr>
        <w:t> </w:t>
      </w:r>
      <w:r>
        <w:rPr>
          <w:sz w:val="24"/>
        </w:rPr>
        <w:t>SEG;</w:t>
      </w:r>
    </w:p>
    <w:p>
      <w:pPr>
        <w:pStyle w:val="ListParagraph"/>
        <w:numPr>
          <w:ilvl w:val="0"/>
          <w:numId w:val="5"/>
        </w:numPr>
        <w:tabs>
          <w:tab w:pos="850" w:val="left" w:leader="none"/>
        </w:tabs>
        <w:spacing w:line="276" w:lineRule="auto" w:before="0" w:after="0"/>
        <w:ind w:left="849" w:right="128" w:hanging="576"/>
        <w:jc w:val="both"/>
        <w:rPr>
          <w:sz w:val="24"/>
        </w:rPr>
      </w:pPr>
      <w:r>
        <w:rPr>
          <w:sz w:val="24"/>
        </w:rPr>
        <w:t>Formar parte del Consejo Académico cuando así lo establezca la Presidencia;</w:t>
      </w:r>
    </w:p>
    <w:p>
      <w:pPr>
        <w:pStyle w:val="ListParagraph"/>
        <w:numPr>
          <w:ilvl w:val="0"/>
          <w:numId w:val="5"/>
        </w:numPr>
        <w:tabs>
          <w:tab w:pos="850" w:val="left" w:leader="none"/>
        </w:tabs>
        <w:spacing w:line="278" w:lineRule="auto" w:before="0" w:after="0"/>
        <w:ind w:left="849" w:right="125" w:hanging="509"/>
        <w:jc w:val="both"/>
        <w:rPr>
          <w:sz w:val="24"/>
        </w:rPr>
      </w:pPr>
      <w:r>
        <w:rPr>
          <w:sz w:val="24"/>
        </w:rPr>
        <w:t>Proporcionar al alumnado al inicio del curso el Programa, los instrumentos y elementos que serán tomados en cuenta para la</w:t>
      </w:r>
      <w:r>
        <w:rPr>
          <w:spacing w:val="-12"/>
          <w:sz w:val="24"/>
        </w:rPr>
        <w:t> </w:t>
      </w:r>
      <w:r>
        <w:rPr>
          <w:sz w:val="24"/>
        </w:rPr>
        <w:t>evaluación;</w:t>
      </w:r>
    </w:p>
    <w:p>
      <w:pPr>
        <w:pStyle w:val="ListParagraph"/>
        <w:numPr>
          <w:ilvl w:val="0"/>
          <w:numId w:val="5"/>
        </w:numPr>
        <w:tabs>
          <w:tab w:pos="850" w:val="left" w:leader="none"/>
        </w:tabs>
        <w:spacing w:line="276" w:lineRule="auto" w:before="0" w:after="0"/>
        <w:ind w:left="849" w:right="122" w:hanging="576"/>
        <w:jc w:val="both"/>
        <w:rPr>
          <w:sz w:val="24"/>
        </w:rPr>
      </w:pPr>
      <w:r>
        <w:rPr>
          <w:sz w:val="24"/>
        </w:rPr>
        <w:t>Entregar calificaciones al alumnado a más tardar cinco días hábiles después de la aplicación de la</w:t>
      </w:r>
      <w:r>
        <w:rPr>
          <w:spacing w:val="-6"/>
          <w:sz w:val="24"/>
        </w:rPr>
        <w:t> </w:t>
      </w:r>
      <w:r>
        <w:rPr>
          <w:sz w:val="24"/>
        </w:rPr>
        <w:t>evaluación;</w:t>
      </w:r>
    </w:p>
    <w:p>
      <w:pPr>
        <w:pStyle w:val="ListParagraph"/>
        <w:numPr>
          <w:ilvl w:val="0"/>
          <w:numId w:val="5"/>
        </w:numPr>
        <w:tabs>
          <w:tab w:pos="850" w:val="left" w:leader="none"/>
        </w:tabs>
        <w:spacing w:line="278" w:lineRule="auto" w:before="0" w:after="0"/>
        <w:ind w:left="849" w:right="128" w:hanging="644"/>
        <w:jc w:val="both"/>
        <w:rPr>
          <w:sz w:val="24"/>
        </w:rPr>
      </w:pPr>
      <w:r>
        <w:rPr>
          <w:sz w:val="24"/>
        </w:rPr>
        <w:t>Entregar el cuadro de calificaciones a la Coordinación a más tardar ocho días hábiles después de la evaluación</w:t>
      </w:r>
      <w:r>
        <w:rPr>
          <w:spacing w:val="-9"/>
          <w:sz w:val="24"/>
        </w:rPr>
        <w:t> </w:t>
      </w:r>
      <w:r>
        <w:rPr>
          <w:sz w:val="24"/>
        </w:rPr>
        <w:t>final;</w:t>
      </w:r>
    </w:p>
    <w:p>
      <w:pPr>
        <w:pStyle w:val="ListParagraph"/>
        <w:numPr>
          <w:ilvl w:val="0"/>
          <w:numId w:val="5"/>
        </w:numPr>
        <w:tabs>
          <w:tab w:pos="850" w:val="left" w:leader="none"/>
        </w:tabs>
        <w:spacing w:line="276" w:lineRule="auto" w:before="0" w:after="0"/>
        <w:ind w:left="849" w:right="121" w:hanging="708"/>
        <w:jc w:val="both"/>
        <w:rPr>
          <w:sz w:val="24"/>
        </w:rPr>
      </w:pPr>
      <w:r>
        <w:rPr>
          <w:sz w:val="24"/>
        </w:rPr>
        <w:t>Aplicar los exámenes de regularización en el periodo establecido en el calendario académico y entregar los resultados a la Coordinación en un plazo máximo de cinco días</w:t>
      </w:r>
      <w:r>
        <w:rPr>
          <w:spacing w:val="-6"/>
          <w:sz w:val="24"/>
        </w:rPr>
        <w:t> </w:t>
      </w:r>
      <w:r>
        <w:rPr>
          <w:sz w:val="24"/>
        </w:rPr>
        <w:t>hábiles;</w:t>
      </w:r>
    </w:p>
    <w:p>
      <w:pPr>
        <w:pStyle w:val="ListParagraph"/>
        <w:numPr>
          <w:ilvl w:val="0"/>
          <w:numId w:val="5"/>
        </w:numPr>
        <w:tabs>
          <w:tab w:pos="850" w:val="left" w:leader="none"/>
        </w:tabs>
        <w:spacing w:line="274" w:lineRule="exact" w:before="0" w:after="0"/>
        <w:ind w:left="849" w:right="0" w:hanging="577"/>
        <w:jc w:val="both"/>
        <w:rPr>
          <w:sz w:val="24"/>
        </w:rPr>
      </w:pPr>
      <w:r>
        <w:rPr>
          <w:sz w:val="24"/>
        </w:rPr>
        <w:t>Actuar con ética, y honestidad y respeto en las actividades</w:t>
      </w:r>
      <w:r>
        <w:rPr>
          <w:spacing w:val="-27"/>
          <w:sz w:val="24"/>
        </w:rPr>
        <w:t> </w:t>
      </w:r>
      <w:r>
        <w:rPr>
          <w:sz w:val="24"/>
        </w:rPr>
        <w:t>académicas;</w:t>
      </w:r>
    </w:p>
    <w:p>
      <w:pPr>
        <w:pStyle w:val="ListParagraph"/>
        <w:numPr>
          <w:ilvl w:val="0"/>
          <w:numId w:val="5"/>
        </w:numPr>
        <w:tabs>
          <w:tab w:pos="850" w:val="left" w:leader="none"/>
        </w:tabs>
        <w:spacing w:line="276" w:lineRule="auto" w:before="26" w:after="0"/>
        <w:ind w:left="849" w:right="120" w:hanging="509"/>
        <w:jc w:val="both"/>
        <w:rPr>
          <w:sz w:val="24"/>
        </w:rPr>
      </w:pPr>
      <w:r>
        <w:rPr>
          <w:sz w:val="24"/>
        </w:rPr>
        <w:t>Excusarse de participar en la evaluación del alumnado en el caso de que existan causas que puedan afectar su</w:t>
      </w:r>
      <w:r>
        <w:rPr>
          <w:spacing w:val="-8"/>
          <w:sz w:val="24"/>
        </w:rPr>
        <w:t> </w:t>
      </w:r>
      <w:r>
        <w:rPr>
          <w:sz w:val="24"/>
        </w:rPr>
        <w:t>imparcialidad;</w:t>
      </w:r>
    </w:p>
    <w:p>
      <w:pPr>
        <w:pStyle w:val="ListParagraph"/>
        <w:numPr>
          <w:ilvl w:val="0"/>
          <w:numId w:val="5"/>
        </w:numPr>
        <w:tabs>
          <w:tab w:pos="850" w:val="left" w:leader="none"/>
        </w:tabs>
        <w:spacing w:line="275" w:lineRule="exact" w:before="0" w:after="0"/>
        <w:ind w:left="849" w:right="0" w:hanging="577"/>
        <w:jc w:val="both"/>
        <w:rPr>
          <w:sz w:val="24"/>
        </w:rPr>
      </w:pPr>
      <w:r>
        <w:rPr>
          <w:sz w:val="24"/>
        </w:rPr>
        <w:t>Dirigir y validar las protocolos de investigación que</w:t>
      </w:r>
      <w:r>
        <w:rPr>
          <w:spacing w:val="-9"/>
          <w:sz w:val="24"/>
        </w:rPr>
        <w:t> </w:t>
      </w:r>
      <w:r>
        <w:rPr>
          <w:sz w:val="24"/>
        </w:rPr>
        <w:t>acepte;</w:t>
      </w:r>
    </w:p>
    <w:p>
      <w:pPr>
        <w:pStyle w:val="ListParagraph"/>
        <w:numPr>
          <w:ilvl w:val="0"/>
          <w:numId w:val="5"/>
        </w:numPr>
        <w:tabs>
          <w:tab w:pos="850" w:val="left" w:leader="none"/>
        </w:tabs>
        <w:spacing w:line="278" w:lineRule="auto" w:before="41" w:after="0"/>
        <w:ind w:left="849" w:right="126" w:hanging="644"/>
        <w:jc w:val="both"/>
        <w:rPr>
          <w:sz w:val="24"/>
        </w:rPr>
      </w:pPr>
      <w:r>
        <w:rPr>
          <w:sz w:val="24"/>
        </w:rPr>
        <w:t>Firmar los contratos y proporcionar la documentación requerida para el pago de honorarios o su equivalente;</w:t>
      </w:r>
      <w:r>
        <w:rPr>
          <w:spacing w:val="-6"/>
          <w:sz w:val="24"/>
        </w:rPr>
        <w:t> </w:t>
      </w:r>
      <w:r>
        <w:rPr>
          <w:sz w:val="24"/>
        </w:rPr>
        <w:t>y</w:t>
      </w:r>
    </w:p>
    <w:p>
      <w:pPr>
        <w:pStyle w:val="ListParagraph"/>
        <w:numPr>
          <w:ilvl w:val="0"/>
          <w:numId w:val="5"/>
        </w:numPr>
        <w:tabs>
          <w:tab w:pos="850" w:val="left" w:leader="none"/>
        </w:tabs>
        <w:spacing w:line="272" w:lineRule="exact" w:before="0" w:after="0"/>
        <w:ind w:left="849" w:right="0" w:hanging="709"/>
        <w:jc w:val="both"/>
        <w:rPr>
          <w:sz w:val="24"/>
        </w:rPr>
      </w:pPr>
      <w:r>
        <w:rPr>
          <w:sz w:val="24"/>
        </w:rPr>
        <w:t>Cumplir con lo dispuesto en la normatividad</w:t>
      </w:r>
      <w:r>
        <w:rPr>
          <w:spacing w:val="-9"/>
          <w:sz w:val="24"/>
        </w:rPr>
        <w:t> </w:t>
      </w:r>
      <w:r>
        <w:rPr>
          <w:sz w:val="24"/>
        </w:rPr>
        <w:t>aplicable.</w:t>
      </w:r>
    </w:p>
    <w:p>
      <w:pPr>
        <w:pStyle w:val="BodyText"/>
        <w:spacing w:before="5"/>
      </w:pPr>
    </w:p>
    <w:p>
      <w:pPr>
        <w:pStyle w:val="BodyText"/>
        <w:spacing w:line="276" w:lineRule="auto"/>
        <w:ind w:left="141" w:right="120"/>
        <w:jc w:val="both"/>
      </w:pPr>
      <w:r>
        <w:rPr>
          <w:b/>
        </w:rPr>
        <w:t>Artículo 29.- </w:t>
      </w:r>
      <w:r>
        <w:rPr/>
        <w:t>En caso de que por causa justificada el personal docente titular de la materia no pueda asistir a una o más de las sesiones, deberá proponer a una persona que lo supla al Consejo Académico el cual determinará si acepta la propuesta o si da por terminado el contrato con quien sea titular y nombra a una nueva persona docente.</w:t>
      </w:r>
    </w:p>
    <w:p>
      <w:pPr>
        <w:pStyle w:val="BodyText"/>
        <w:rPr>
          <w:sz w:val="26"/>
        </w:rPr>
      </w:pPr>
    </w:p>
    <w:p>
      <w:pPr>
        <w:pStyle w:val="BodyText"/>
        <w:rPr>
          <w:sz w:val="26"/>
        </w:rPr>
      </w:pPr>
    </w:p>
    <w:p>
      <w:pPr>
        <w:pStyle w:val="Heading1"/>
        <w:spacing w:before="201"/>
        <w:ind w:right="195"/>
      </w:pPr>
      <w:r>
        <w:rPr/>
        <w:t>CAPÍTULO</w:t>
      </w:r>
      <w:r>
        <w:rPr>
          <w:spacing w:val="-8"/>
        </w:rPr>
        <w:t> </w:t>
      </w:r>
      <w:r>
        <w:rPr/>
        <w:t>VI</w:t>
      </w:r>
    </w:p>
    <w:p>
      <w:pPr>
        <w:pStyle w:val="BodyText"/>
        <w:spacing w:before="5"/>
        <w:rPr>
          <w:b/>
        </w:rPr>
      </w:pPr>
    </w:p>
    <w:p>
      <w:pPr>
        <w:spacing w:before="0"/>
        <w:ind w:left="210" w:right="193" w:firstLine="0"/>
        <w:jc w:val="center"/>
        <w:rPr>
          <w:b/>
          <w:sz w:val="24"/>
        </w:rPr>
      </w:pPr>
      <w:r>
        <w:rPr>
          <w:b/>
          <w:sz w:val="24"/>
        </w:rPr>
        <w:t>Evaluaciones</w:t>
      </w:r>
    </w:p>
    <w:p>
      <w:pPr>
        <w:pStyle w:val="BodyText"/>
        <w:spacing w:before="4"/>
        <w:rPr>
          <w:b/>
        </w:rPr>
      </w:pPr>
    </w:p>
    <w:p>
      <w:pPr>
        <w:pStyle w:val="BodyText"/>
        <w:spacing w:line="276" w:lineRule="auto" w:before="1"/>
        <w:ind w:left="141" w:right="123"/>
        <w:jc w:val="both"/>
      </w:pPr>
      <w:r>
        <w:rPr>
          <w:b/>
        </w:rPr>
        <w:t>Artículo 30.- </w:t>
      </w:r>
      <w:r>
        <w:rPr/>
        <w:t>El alumnado contará con dos oportunidades de evaluación para acreditar una materia: la primera se denominará ordinaria y la segunda de regularización.</w:t>
      </w:r>
    </w:p>
    <w:p>
      <w:pPr>
        <w:spacing w:after="0" w:line="276" w:lineRule="auto"/>
        <w:jc w:val="both"/>
        <w:sectPr>
          <w:pgSz w:w="12240" w:h="15840"/>
          <w:pgMar w:top="1340" w:bottom="280" w:left="1560" w:right="1580"/>
        </w:sectPr>
      </w:pPr>
    </w:p>
    <w:p>
      <w:pPr>
        <w:pStyle w:val="BodyText"/>
        <w:spacing w:line="278" w:lineRule="auto" w:before="74"/>
        <w:ind w:left="141" w:right="126"/>
        <w:jc w:val="both"/>
      </w:pPr>
      <w:r>
        <w:rPr/>
        <w:t>Las fechas de dichas evaluaciones estarán establecidas en el calendario académico referido en el artículo 5 del presente Reglamento.</w:t>
      </w:r>
    </w:p>
    <w:p>
      <w:pPr>
        <w:pStyle w:val="BodyText"/>
        <w:spacing w:before="5"/>
        <w:rPr>
          <w:sz w:val="20"/>
        </w:rPr>
      </w:pPr>
    </w:p>
    <w:p>
      <w:pPr>
        <w:pStyle w:val="BodyText"/>
        <w:spacing w:line="276" w:lineRule="auto" w:before="1"/>
        <w:ind w:left="141" w:right="119"/>
        <w:jc w:val="both"/>
      </w:pPr>
      <w:r>
        <w:rPr>
          <w:b/>
        </w:rPr>
        <w:t>Artículo 31.- </w:t>
      </w:r>
      <w:r>
        <w:rPr/>
        <w:t>Como base para valorar el desempeño académico de los alumnos se podrán establecer evaluaciones parciales, finales y de regularización.</w:t>
      </w:r>
    </w:p>
    <w:p>
      <w:pPr>
        <w:pStyle w:val="BodyText"/>
        <w:spacing w:before="8"/>
        <w:rPr>
          <w:sz w:val="20"/>
        </w:rPr>
      </w:pPr>
    </w:p>
    <w:p>
      <w:pPr>
        <w:spacing w:before="0"/>
        <w:ind w:left="141" w:right="0" w:firstLine="0"/>
        <w:jc w:val="both"/>
        <w:rPr>
          <w:sz w:val="24"/>
        </w:rPr>
      </w:pPr>
      <w:r>
        <w:rPr>
          <w:b/>
          <w:sz w:val="24"/>
        </w:rPr>
        <w:t>Artículo 32.- </w:t>
      </w:r>
      <w:r>
        <w:rPr>
          <w:sz w:val="24"/>
        </w:rPr>
        <w:t>Las evaluaciones podrán consistir en:</w:t>
      </w:r>
    </w:p>
    <w:p>
      <w:pPr>
        <w:pStyle w:val="BodyText"/>
        <w:spacing w:before="7"/>
      </w:pPr>
    </w:p>
    <w:p>
      <w:pPr>
        <w:pStyle w:val="ListParagraph"/>
        <w:numPr>
          <w:ilvl w:val="0"/>
          <w:numId w:val="6"/>
        </w:numPr>
        <w:tabs>
          <w:tab w:pos="861" w:val="left" w:leader="none"/>
          <w:tab w:pos="862" w:val="left" w:leader="none"/>
        </w:tabs>
        <w:spacing w:line="240" w:lineRule="auto" w:before="1" w:after="0"/>
        <w:ind w:left="861" w:right="0" w:hanging="428"/>
        <w:jc w:val="left"/>
        <w:rPr>
          <w:sz w:val="24"/>
        </w:rPr>
      </w:pPr>
      <w:r>
        <w:rPr>
          <w:sz w:val="24"/>
        </w:rPr>
        <w:t>Pruebas</w:t>
      </w:r>
      <w:r>
        <w:rPr>
          <w:spacing w:val="-1"/>
          <w:sz w:val="24"/>
        </w:rPr>
        <w:t> </w:t>
      </w:r>
      <w:r>
        <w:rPr>
          <w:sz w:val="24"/>
        </w:rPr>
        <w:t>objetivas;</w:t>
      </w:r>
    </w:p>
    <w:p>
      <w:pPr>
        <w:pStyle w:val="ListParagraph"/>
        <w:numPr>
          <w:ilvl w:val="0"/>
          <w:numId w:val="6"/>
        </w:numPr>
        <w:tabs>
          <w:tab w:pos="861" w:val="left" w:leader="none"/>
          <w:tab w:pos="862" w:val="left" w:leader="none"/>
        </w:tabs>
        <w:spacing w:line="240" w:lineRule="auto" w:before="40" w:after="0"/>
        <w:ind w:left="861" w:right="0" w:hanging="495"/>
        <w:jc w:val="left"/>
        <w:rPr>
          <w:sz w:val="24"/>
        </w:rPr>
      </w:pPr>
      <w:r>
        <w:rPr>
          <w:sz w:val="24"/>
        </w:rPr>
        <w:t>Exámenes abiertos;</w:t>
      </w:r>
      <w:r>
        <w:rPr>
          <w:spacing w:val="-1"/>
          <w:sz w:val="24"/>
        </w:rPr>
        <w:t> </w:t>
      </w:r>
      <w:r>
        <w:rPr>
          <w:sz w:val="24"/>
        </w:rPr>
        <w:t>y</w:t>
      </w:r>
    </w:p>
    <w:p>
      <w:pPr>
        <w:pStyle w:val="ListParagraph"/>
        <w:numPr>
          <w:ilvl w:val="0"/>
          <w:numId w:val="6"/>
        </w:numPr>
        <w:tabs>
          <w:tab w:pos="861" w:val="left" w:leader="none"/>
          <w:tab w:pos="862" w:val="left" w:leader="none"/>
        </w:tabs>
        <w:spacing w:line="240" w:lineRule="auto" w:before="41" w:after="0"/>
        <w:ind w:left="861" w:right="0" w:hanging="562"/>
        <w:jc w:val="left"/>
        <w:rPr>
          <w:sz w:val="24"/>
        </w:rPr>
      </w:pPr>
      <w:r>
        <w:rPr>
          <w:sz w:val="24"/>
        </w:rPr>
        <w:t>Pruebas de</w:t>
      </w:r>
      <w:r>
        <w:rPr>
          <w:spacing w:val="-3"/>
          <w:sz w:val="24"/>
        </w:rPr>
        <w:t> </w:t>
      </w:r>
      <w:r>
        <w:rPr>
          <w:sz w:val="24"/>
        </w:rPr>
        <w:t>desempeño.</w:t>
      </w:r>
    </w:p>
    <w:p>
      <w:pPr>
        <w:pStyle w:val="BodyText"/>
        <w:spacing w:before="5"/>
      </w:pPr>
    </w:p>
    <w:p>
      <w:pPr>
        <w:pStyle w:val="BodyText"/>
        <w:spacing w:line="278" w:lineRule="auto"/>
        <w:ind w:left="141" w:right="121"/>
        <w:jc w:val="both"/>
      </w:pPr>
      <w:r>
        <w:rPr>
          <w:b/>
        </w:rPr>
        <w:t>Artículo 33.- </w:t>
      </w:r>
      <w:r>
        <w:rPr/>
        <w:t>La evaluación se hará mediante una escala cuantitativa del 0 al 10, considerándose únicamente fracciones de 0.5 cuando así corresponda.</w:t>
      </w:r>
    </w:p>
    <w:p>
      <w:pPr>
        <w:pStyle w:val="BodyText"/>
        <w:spacing w:before="6"/>
        <w:rPr>
          <w:sz w:val="20"/>
        </w:rPr>
      </w:pPr>
    </w:p>
    <w:p>
      <w:pPr>
        <w:pStyle w:val="BodyText"/>
        <w:ind w:left="141"/>
        <w:jc w:val="both"/>
      </w:pPr>
      <w:r>
        <w:rPr/>
        <w:t>La mínima de aprobación para todos los niveles será de 7.0</w:t>
      </w:r>
    </w:p>
    <w:p>
      <w:pPr>
        <w:pStyle w:val="BodyText"/>
        <w:spacing w:before="5"/>
      </w:pPr>
    </w:p>
    <w:p>
      <w:pPr>
        <w:pStyle w:val="BodyText"/>
        <w:spacing w:line="276" w:lineRule="auto"/>
        <w:ind w:left="141" w:right="127"/>
        <w:jc w:val="both"/>
      </w:pPr>
      <w:r>
        <w:rPr>
          <w:b/>
        </w:rPr>
        <w:t>Artículo 34.- </w:t>
      </w:r>
      <w:r>
        <w:rPr/>
        <w:t>En el caso de inconformidad en la evaluación, el alumnado podrá solicitar revisión de las calificaciones o evaluaciones de las materias en las que está inscrito.</w:t>
      </w:r>
    </w:p>
    <w:p>
      <w:pPr>
        <w:pStyle w:val="BodyText"/>
        <w:spacing w:before="10"/>
        <w:rPr>
          <w:sz w:val="20"/>
        </w:rPr>
      </w:pPr>
    </w:p>
    <w:p>
      <w:pPr>
        <w:pStyle w:val="BodyText"/>
        <w:spacing w:line="276" w:lineRule="auto"/>
        <w:ind w:left="141" w:right="124"/>
        <w:jc w:val="both"/>
      </w:pPr>
      <w:r>
        <w:rPr/>
        <w:t>Dicha solicitud deberá dirigirse por escrito al Instituto exponiendo sus razones y motivos.</w:t>
      </w:r>
    </w:p>
    <w:p>
      <w:pPr>
        <w:pStyle w:val="BodyText"/>
        <w:spacing w:before="9"/>
        <w:rPr>
          <w:sz w:val="20"/>
        </w:rPr>
      </w:pPr>
    </w:p>
    <w:p>
      <w:pPr>
        <w:pStyle w:val="BodyText"/>
        <w:spacing w:line="276" w:lineRule="auto"/>
        <w:ind w:left="141" w:right="128"/>
        <w:jc w:val="both"/>
      </w:pPr>
      <w:r>
        <w:rPr/>
        <w:t>Será el Consejo Académico quien determine si procede la revisión, pudiendo nombrar a otro docente de la plantilla para que haga la revaluación.</w:t>
      </w:r>
    </w:p>
    <w:p>
      <w:pPr>
        <w:pStyle w:val="BodyText"/>
        <w:rPr>
          <w:sz w:val="21"/>
        </w:rPr>
      </w:pPr>
    </w:p>
    <w:p>
      <w:pPr>
        <w:pStyle w:val="BodyText"/>
        <w:spacing w:line="276" w:lineRule="auto"/>
        <w:ind w:left="141" w:right="125"/>
        <w:jc w:val="both"/>
      </w:pPr>
      <w:r>
        <w:rPr>
          <w:b/>
        </w:rPr>
        <w:t>Artículo 35.- </w:t>
      </w:r>
      <w:r>
        <w:rPr/>
        <w:t>Para las evaluaciones el alumnado podrá recusar o el personal docente podrá excusarse, según el caso, cuando se aduzca causa que lo amerite, la cual será dictaminada a juicio del Consejo Académico.</w:t>
      </w:r>
    </w:p>
    <w:p>
      <w:pPr>
        <w:pStyle w:val="BodyText"/>
        <w:spacing w:before="8"/>
        <w:rPr>
          <w:sz w:val="20"/>
        </w:rPr>
      </w:pPr>
    </w:p>
    <w:p>
      <w:pPr>
        <w:pStyle w:val="BodyText"/>
        <w:spacing w:line="278" w:lineRule="auto"/>
        <w:ind w:left="141" w:right="129"/>
        <w:jc w:val="both"/>
      </w:pPr>
      <w:r>
        <w:rPr/>
        <w:t>Será el Consejo Académico quien determine si procede lo anterior, pudiendo nombrar a otro docente de la plantilla para que haga la evaluación.</w:t>
      </w:r>
    </w:p>
    <w:p>
      <w:pPr>
        <w:pStyle w:val="BodyText"/>
        <w:spacing w:before="6"/>
        <w:rPr>
          <w:sz w:val="20"/>
        </w:rPr>
      </w:pPr>
    </w:p>
    <w:p>
      <w:pPr>
        <w:pStyle w:val="BodyText"/>
        <w:spacing w:line="276" w:lineRule="auto"/>
        <w:ind w:left="141" w:right="125"/>
        <w:jc w:val="both"/>
      </w:pPr>
      <w:r>
        <w:rPr>
          <w:b/>
        </w:rPr>
        <w:t>Artículo 36.- </w:t>
      </w:r>
      <w:r>
        <w:rPr/>
        <w:t>La solicitud de recusación o de excusa deberá presentarse ante el Instituto por escrito, acompañada de las pruebas o argumentos en que se sustente, a más tardar diez días antes de la fecha fijada para la aplicación de la evaluación.</w:t>
      </w:r>
    </w:p>
    <w:p>
      <w:pPr>
        <w:pStyle w:val="BodyText"/>
        <w:spacing w:before="10"/>
        <w:rPr>
          <w:sz w:val="20"/>
        </w:rPr>
      </w:pPr>
    </w:p>
    <w:p>
      <w:pPr>
        <w:pStyle w:val="BodyText"/>
        <w:spacing w:line="276" w:lineRule="auto"/>
        <w:ind w:left="141" w:right="124"/>
        <w:jc w:val="both"/>
      </w:pPr>
      <w:r>
        <w:rPr/>
        <w:t>Quien sea el titular de la Dirección en su calidad de titular de la Secretaría del Consejo Académico hará del conocimiento del Consejo Académico el caso y se acordará el procedimiento a seguir para determinar si procede o no la excusa o recusación.</w:t>
      </w:r>
    </w:p>
    <w:p>
      <w:pPr>
        <w:spacing w:after="0" w:line="276" w:lineRule="auto"/>
        <w:jc w:val="both"/>
        <w:sectPr>
          <w:pgSz w:w="12240" w:h="15840"/>
          <w:pgMar w:top="1340" w:bottom="280" w:left="156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pStyle w:val="Heading1"/>
        <w:spacing w:before="92"/>
        <w:ind w:right="195"/>
      </w:pPr>
      <w:r>
        <w:rPr/>
        <w:t>CAPITULO VII</w:t>
      </w:r>
    </w:p>
    <w:p>
      <w:pPr>
        <w:pStyle w:val="BodyText"/>
        <w:spacing w:before="5"/>
        <w:rPr>
          <w:b/>
        </w:rPr>
      </w:pPr>
    </w:p>
    <w:p>
      <w:pPr>
        <w:spacing w:before="0"/>
        <w:ind w:left="210" w:right="193" w:firstLine="0"/>
        <w:jc w:val="center"/>
        <w:rPr>
          <w:b/>
          <w:sz w:val="24"/>
        </w:rPr>
      </w:pPr>
      <w:r>
        <w:rPr>
          <w:b/>
          <w:sz w:val="24"/>
        </w:rPr>
        <w:t>Infracciones y Sanciones</w:t>
      </w:r>
    </w:p>
    <w:p>
      <w:pPr>
        <w:pStyle w:val="BodyText"/>
        <w:spacing w:before="7"/>
        <w:rPr>
          <w:b/>
        </w:rPr>
      </w:pPr>
    </w:p>
    <w:p>
      <w:pPr>
        <w:pStyle w:val="BodyText"/>
        <w:spacing w:line="276" w:lineRule="auto"/>
        <w:ind w:left="141" w:right="117"/>
        <w:jc w:val="both"/>
      </w:pPr>
      <w:r>
        <w:rPr>
          <w:b/>
        </w:rPr>
        <w:t>Artículo 37.- </w:t>
      </w:r>
      <w:r>
        <w:rPr/>
        <w:t>Al alumnado o personal docentes que realicen alguna indisciplina, infracción o falta grave contraria a lo dispuesto en este Reglamento, se les impondrá, según el caso y la gravedad, alguna de las siguientes sanciones:</w:t>
      </w:r>
    </w:p>
    <w:p>
      <w:pPr>
        <w:pStyle w:val="BodyText"/>
        <w:spacing w:before="8"/>
        <w:rPr>
          <w:sz w:val="20"/>
        </w:rPr>
      </w:pPr>
    </w:p>
    <w:p>
      <w:pPr>
        <w:pStyle w:val="ListParagraph"/>
        <w:numPr>
          <w:ilvl w:val="0"/>
          <w:numId w:val="7"/>
        </w:numPr>
        <w:tabs>
          <w:tab w:pos="861" w:val="left" w:leader="none"/>
          <w:tab w:pos="862" w:val="left" w:leader="none"/>
        </w:tabs>
        <w:spacing w:line="240" w:lineRule="auto" w:before="1" w:after="0"/>
        <w:ind w:left="861" w:right="0" w:hanging="428"/>
        <w:jc w:val="left"/>
        <w:rPr>
          <w:sz w:val="24"/>
        </w:rPr>
      </w:pPr>
      <w:r>
        <w:rPr>
          <w:sz w:val="24"/>
        </w:rPr>
        <w:t>Amonestación;</w:t>
      </w:r>
    </w:p>
    <w:p>
      <w:pPr>
        <w:pStyle w:val="BodyText"/>
        <w:spacing w:before="7"/>
      </w:pPr>
    </w:p>
    <w:p>
      <w:pPr>
        <w:pStyle w:val="ListParagraph"/>
        <w:numPr>
          <w:ilvl w:val="0"/>
          <w:numId w:val="7"/>
        </w:numPr>
        <w:tabs>
          <w:tab w:pos="861" w:val="left" w:leader="none"/>
          <w:tab w:pos="862" w:val="left" w:leader="none"/>
        </w:tabs>
        <w:spacing w:line="240" w:lineRule="auto" w:before="0" w:after="0"/>
        <w:ind w:left="861" w:right="0" w:hanging="495"/>
        <w:jc w:val="left"/>
        <w:rPr>
          <w:sz w:val="24"/>
        </w:rPr>
      </w:pPr>
      <w:r>
        <w:rPr>
          <w:sz w:val="24"/>
        </w:rPr>
        <w:t>Suspensión;</w:t>
      </w:r>
    </w:p>
    <w:p>
      <w:pPr>
        <w:pStyle w:val="BodyText"/>
        <w:spacing w:before="5"/>
      </w:pPr>
    </w:p>
    <w:p>
      <w:pPr>
        <w:pStyle w:val="ListParagraph"/>
        <w:numPr>
          <w:ilvl w:val="0"/>
          <w:numId w:val="7"/>
        </w:numPr>
        <w:tabs>
          <w:tab w:pos="861" w:val="left" w:leader="none"/>
          <w:tab w:pos="862" w:val="left" w:leader="none"/>
        </w:tabs>
        <w:spacing w:line="240" w:lineRule="auto" w:before="0" w:after="0"/>
        <w:ind w:left="861" w:right="0" w:hanging="562"/>
        <w:jc w:val="left"/>
        <w:rPr>
          <w:sz w:val="24"/>
        </w:rPr>
      </w:pPr>
      <w:r>
        <w:rPr>
          <w:sz w:val="24"/>
        </w:rPr>
        <w:t>Expulsión.</w:t>
      </w:r>
    </w:p>
    <w:p>
      <w:pPr>
        <w:pStyle w:val="BodyText"/>
        <w:spacing w:before="4"/>
      </w:pPr>
    </w:p>
    <w:p>
      <w:pPr>
        <w:pStyle w:val="BodyText"/>
        <w:spacing w:line="276" w:lineRule="auto" w:before="1"/>
        <w:ind w:left="141" w:right="120"/>
        <w:jc w:val="both"/>
      </w:pPr>
      <w:r>
        <w:rPr>
          <w:b/>
        </w:rPr>
        <w:t>Artículo 38.- </w:t>
      </w:r>
      <w:r>
        <w:rPr/>
        <w:t>Será el Consejo Académico el que determine el procedimiento a seguir en cada caso, la gravedad de la conducta u omisión y la sanción correspondiente, respetando siempre la garantía de audiencia</w:t>
      </w:r>
    </w:p>
    <w:p>
      <w:pPr>
        <w:pStyle w:val="BodyText"/>
        <w:rPr>
          <w:sz w:val="26"/>
        </w:rPr>
      </w:pPr>
    </w:p>
    <w:p>
      <w:pPr>
        <w:pStyle w:val="BodyText"/>
        <w:rPr>
          <w:sz w:val="26"/>
        </w:rPr>
      </w:pPr>
    </w:p>
    <w:p>
      <w:pPr>
        <w:pStyle w:val="Heading1"/>
        <w:spacing w:before="199"/>
        <w:ind w:right="196"/>
      </w:pPr>
      <w:r>
        <w:rPr/>
        <w:t>CAPITULO VIII</w:t>
      </w:r>
    </w:p>
    <w:p>
      <w:pPr>
        <w:pStyle w:val="BodyText"/>
        <w:spacing w:before="5"/>
        <w:rPr>
          <w:b/>
        </w:rPr>
      </w:pPr>
    </w:p>
    <w:p>
      <w:pPr>
        <w:spacing w:before="0"/>
        <w:ind w:left="210" w:right="196" w:firstLine="0"/>
        <w:jc w:val="center"/>
        <w:rPr>
          <w:b/>
          <w:sz w:val="24"/>
        </w:rPr>
      </w:pPr>
      <w:r>
        <w:rPr>
          <w:b/>
          <w:sz w:val="24"/>
        </w:rPr>
        <w:t>Certificados, Diplomas y Títulos</w:t>
      </w:r>
    </w:p>
    <w:p>
      <w:pPr>
        <w:pStyle w:val="BodyText"/>
        <w:spacing w:before="5"/>
        <w:rPr>
          <w:b/>
        </w:rPr>
      </w:pPr>
    </w:p>
    <w:p>
      <w:pPr>
        <w:pStyle w:val="BodyText"/>
        <w:spacing w:line="276" w:lineRule="auto"/>
        <w:ind w:left="141" w:right="119"/>
        <w:jc w:val="both"/>
      </w:pPr>
      <w:r>
        <w:rPr>
          <w:b/>
        </w:rPr>
        <w:t>Artículo 39.- </w:t>
      </w:r>
      <w:r>
        <w:rPr/>
        <w:t>El Instituto otorgará los certificados, diplomas y títulos correspondientes, según el caso, al alumnado que cumplan satisfactoriamente el programa académico respectivo y cumplan con los requisitos administrativos correspondientes, para obtener:</w:t>
      </w:r>
    </w:p>
    <w:p>
      <w:pPr>
        <w:pStyle w:val="BodyText"/>
        <w:spacing w:before="10"/>
        <w:rPr>
          <w:sz w:val="20"/>
        </w:rPr>
      </w:pPr>
    </w:p>
    <w:p>
      <w:pPr>
        <w:pStyle w:val="ListParagraph"/>
        <w:numPr>
          <w:ilvl w:val="0"/>
          <w:numId w:val="8"/>
        </w:numPr>
        <w:tabs>
          <w:tab w:pos="861" w:val="left" w:leader="none"/>
          <w:tab w:pos="862" w:val="left" w:leader="none"/>
        </w:tabs>
        <w:spacing w:line="240" w:lineRule="auto" w:before="0" w:after="0"/>
        <w:ind w:left="861" w:right="0" w:hanging="428"/>
        <w:jc w:val="left"/>
        <w:rPr>
          <w:sz w:val="24"/>
        </w:rPr>
      </w:pPr>
      <w:r>
        <w:rPr>
          <w:sz w:val="24"/>
        </w:rPr>
        <w:t>Diploma de Especialista en Justicia</w:t>
      </w:r>
      <w:r>
        <w:rPr>
          <w:spacing w:val="-11"/>
          <w:sz w:val="24"/>
        </w:rPr>
        <w:t> </w:t>
      </w:r>
      <w:r>
        <w:rPr>
          <w:sz w:val="24"/>
        </w:rPr>
        <w:t>Administrativa.</w:t>
      </w:r>
    </w:p>
    <w:p>
      <w:pPr>
        <w:pStyle w:val="ListParagraph"/>
        <w:numPr>
          <w:ilvl w:val="0"/>
          <w:numId w:val="8"/>
        </w:numPr>
        <w:tabs>
          <w:tab w:pos="861" w:val="left" w:leader="none"/>
          <w:tab w:pos="862" w:val="left" w:leader="none"/>
        </w:tabs>
        <w:spacing w:line="240" w:lineRule="auto" w:before="43" w:after="0"/>
        <w:ind w:left="861" w:right="0" w:hanging="495"/>
        <w:jc w:val="left"/>
        <w:rPr>
          <w:sz w:val="24"/>
        </w:rPr>
      </w:pPr>
      <w:r>
        <w:rPr>
          <w:sz w:val="24"/>
        </w:rPr>
        <w:t>Grado de Maestro en Justicia</w:t>
      </w:r>
      <w:r>
        <w:rPr>
          <w:spacing w:val="-6"/>
          <w:sz w:val="24"/>
        </w:rPr>
        <w:t> </w:t>
      </w:r>
      <w:r>
        <w:rPr>
          <w:sz w:val="24"/>
        </w:rPr>
        <w:t>Administrativa.</w:t>
      </w:r>
    </w:p>
    <w:p>
      <w:pPr>
        <w:pStyle w:val="BodyText"/>
        <w:spacing w:before="5"/>
      </w:pPr>
    </w:p>
    <w:p>
      <w:pPr>
        <w:spacing w:before="0"/>
        <w:ind w:left="141" w:right="0" w:firstLine="0"/>
        <w:jc w:val="both"/>
        <w:rPr>
          <w:sz w:val="24"/>
        </w:rPr>
      </w:pPr>
      <w:r>
        <w:rPr>
          <w:b/>
          <w:sz w:val="24"/>
        </w:rPr>
        <w:t>Artículo 40.- </w:t>
      </w:r>
      <w:r>
        <w:rPr>
          <w:sz w:val="24"/>
        </w:rPr>
        <w:t>Derogado.</w:t>
      </w:r>
    </w:p>
    <w:p>
      <w:pPr>
        <w:pStyle w:val="BodyText"/>
        <w:spacing w:before="5"/>
      </w:pPr>
    </w:p>
    <w:p>
      <w:pPr>
        <w:pStyle w:val="BodyText"/>
        <w:spacing w:line="276" w:lineRule="auto"/>
        <w:ind w:left="141" w:right="126"/>
        <w:jc w:val="both"/>
      </w:pPr>
      <w:r>
        <w:rPr>
          <w:b/>
        </w:rPr>
        <w:t>Artículo 41.- </w:t>
      </w:r>
      <w:r>
        <w:rPr/>
        <w:t>Para la obtención del Diploma el alumnado podrá optar por alguna de las siguientes alternativas de</w:t>
      </w:r>
      <w:r>
        <w:rPr>
          <w:spacing w:val="-4"/>
        </w:rPr>
        <w:t> </w:t>
      </w:r>
      <w:r>
        <w:rPr/>
        <w:t>titulación:</w:t>
      </w:r>
    </w:p>
    <w:p>
      <w:pPr>
        <w:pStyle w:val="BodyText"/>
        <w:spacing w:before="11"/>
        <w:rPr>
          <w:sz w:val="20"/>
        </w:rPr>
      </w:pPr>
    </w:p>
    <w:p>
      <w:pPr>
        <w:pStyle w:val="ListParagraph"/>
        <w:numPr>
          <w:ilvl w:val="0"/>
          <w:numId w:val="9"/>
        </w:numPr>
        <w:tabs>
          <w:tab w:pos="861" w:val="left" w:leader="none"/>
          <w:tab w:pos="862" w:val="left" w:leader="none"/>
        </w:tabs>
        <w:spacing w:line="276" w:lineRule="auto" w:before="0" w:after="0"/>
        <w:ind w:left="861" w:right="118" w:hanging="428"/>
        <w:jc w:val="left"/>
        <w:rPr>
          <w:sz w:val="24"/>
        </w:rPr>
      </w:pPr>
      <w:r>
        <w:rPr>
          <w:sz w:val="24"/>
        </w:rPr>
        <w:t>Tener un promedio general mínimo de 9.0, sin haber reprobado alguna materia;</w:t>
      </w:r>
    </w:p>
    <w:p>
      <w:pPr>
        <w:spacing w:after="0" w:line="276" w:lineRule="auto"/>
        <w:jc w:val="left"/>
        <w:rPr>
          <w:sz w:val="24"/>
        </w:rPr>
        <w:sectPr>
          <w:pgSz w:w="12240" w:h="15840"/>
          <w:pgMar w:top="1500" w:bottom="280" w:left="1560" w:right="1580"/>
        </w:sectPr>
      </w:pPr>
    </w:p>
    <w:p>
      <w:pPr>
        <w:pStyle w:val="ListParagraph"/>
        <w:numPr>
          <w:ilvl w:val="0"/>
          <w:numId w:val="9"/>
        </w:numPr>
        <w:tabs>
          <w:tab w:pos="861" w:val="left" w:leader="none"/>
          <w:tab w:pos="862" w:val="left" w:leader="none"/>
        </w:tabs>
        <w:spacing w:line="278" w:lineRule="auto" w:before="74" w:after="0"/>
        <w:ind w:left="861" w:right="127" w:hanging="495"/>
        <w:jc w:val="left"/>
        <w:rPr>
          <w:sz w:val="24"/>
        </w:rPr>
      </w:pPr>
      <w:r>
        <w:rPr>
          <w:sz w:val="24"/>
        </w:rPr>
        <w:t>Cursar y aprobar la totalidad del Programa de Estudios de la Maestría en Justicia</w:t>
      </w:r>
      <w:r>
        <w:rPr>
          <w:spacing w:val="-1"/>
          <w:sz w:val="24"/>
        </w:rPr>
        <w:t> </w:t>
      </w:r>
      <w:r>
        <w:rPr>
          <w:sz w:val="24"/>
        </w:rPr>
        <w:t>Administrativa;</w:t>
      </w:r>
    </w:p>
    <w:p>
      <w:pPr>
        <w:pStyle w:val="ListParagraph"/>
        <w:numPr>
          <w:ilvl w:val="0"/>
          <w:numId w:val="9"/>
        </w:numPr>
        <w:tabs>
          <w:tab w:pos="861" w:val="left" w:leader="none"/>
          <w:tab w:pos="862" w:val="left" w:leader="none"/>
        </w:tabs>
        <w:spacing w:line="276" w:lineRule="auto" w:before="0" w:after="0"/>
        <w:ind w:left="861" w:right="127" w:hanging="562"/>
        <w:jc w:val="left"/>
        <w:rPr>
          <w:sz w:val="24"/>
        </w:rPr>
      </w:pPr>
      <w:r>
        <w:rPr>
          <w:sz w:val="24"/>
        </w:rPr>
        <w:t>Cursar y aprobar el Seminario de Titulación del Programa de Maestría en Justicia</w:t>
      </w:r>
      <w:r>
        <w:rPr>
          <w:spacing w:val="-1"/>
          <w:sz w:val="24"/>
        </w:rPr>
        <w:t> </w:t>
      </w:r>
      <w:r>
        <w:rPr>
          <w:sz w:val="24"/>
        </w:rPr>
        <w:t>Administrativa.</w:t>
      </w:r>
    </w:p>
    <w:p>
      <w:pPr>
        <w:pStyle w:val="BodyText"/>
        <w:spacing w:before="4"/>
        <w:rPr>
          <w:sz w:val="20"/>
        </w:rPr>
      </w:pPr>
    </w:p>
    <w:p>
      <w:pPr>
        <w:pStyle w:val="BodyText"/>
        <w:spacing w:line="278" w:lineRule="auto"/>
        <w:ind w:left="141" w:right="141"/>
      </w:pPr>
      <w:r>
        <w:rPr>
          <w:b/>
        </w:rPr>
        <w:t>Artículo 42.- </w:t>
      </w:r>
      <w:r>
        <w:rPr/>
        <w:t>Para la obtención del Grado el alumnado podrá optar por alguna de las siguientes alternativas de titulación:</w:t>
      </w:r>
    </w:p>
    <w:p>
      <w:pPr>
        <w:pStyle w:val="BodyText"/>
        <w:spacing w:before="6"/>
        <w:rPr>
          <w:sz w:val="20"/>
        </w:rPr>
      </w:pPr>
    </w:p>
    <w:p>
      <w:pPr>
        <w:pStyle w:val="ListParagraph"/>
        <w:numPr>
          <w:ilvl w:val="0"/>
          <w:numId w:val="10"/>
        </w:numPr>
        <w:tabs>
          <w:tab w:pos="861" w:val="left" w:leader="none"/>
          <w:tab w:pos="862" w:val="left" w:leader="none"/>
        </w:tabs>
        <w:spacing w:line="276" w:lineRule="auto" w:before="0" w:after="0"/>
        <w:ind w:left="861" w:right="691" w:hanging="428"/>
        <w:jc w:val="left"/>
        <w:rPr>
          <w:sz w:val="24"/>
        </w:rPr>
      </w:pPr>
      <w:r>
        <w:rPr>
          <w:sz w:val="24"/>
        </w:rPr>
        <w:t>Tener un promedio general mínimo de 9.0, sin haber reprobado</w:t>
      </w:r>
      <w:r>
        <w:rPr>
          <w:spacing w:val="-39"/>
          <w:sz w:val="24"/>
        </w:rPr>
        <w:t> </w:t>
      </w:r>
      <w:r>
        <w:rPr>
          <w:sz w:val="24"/>
        </w:rPr>
        <w:t>alguna materia;</w:t>
      </w:r>
    </w:p>
    <w:p>
      <w:pPr>
        <w:pStyle w:val="ListParagraph"/>
        <w:numPr>
          <w:ilvl w:val="0"/>
          <w:numId w:val="10"/>
        </w:numPr>
        <w:tabs>
          <w:tab w:pos="861" w:val="left" w:leader="none"/>
          <w:tab w:pos="862" w:val="left" w:leader="none"/>
        </w:tabs>
        <w:spacing w:line="278" w:lineRule="auto" w:before="0" w:after="0"/>
        <w:ind w:left="861" w:right="441" w:hanging="495"/>
        <w:jc w:val="left"/>
        <w:rPr>
          <w:sz w:val="24"/>
        </w:rPr>
      </w:pPr>
      <w:r>
        <w:rPr>
          <w:sz w:val="24"/>
        </w:rPr>
        <w:t>Cursar y aprobar el Seminario de Titulación del Programa de Maestría</w:t>
      </w:r>
      <w:r>
        <w:rPr>
          <w:spacing w:val="-42"/>
          <w:sz w:val="24"/>
        </w:rPr>
        <w:t> </w:t>
      </w:r>
      <w:r>
        <w:rPr>
          <w:sz w:val="24"/>
        </w:rPr>
        <w:t>en Justicia</w:t>
      </w:r>
      <w:r>
        <w:rPr>
          <w:spacing w:val="-1"/>
          <w:sz w:val="24"/>
        </w:rPr>
        <w:t> </w:t>
      </w:r>
      <w:r>
        <w:rPr>
          <w:sz w:val="24"/>
        </w:rPr>
        <w:t>Administrativa.</w:t>
      </w:r>
    </w:p>
    <w:p>
      <w:pPr>
        <w:pStyle w:val="BodyText"/>
        <w:spacing w:before="5"/>
        <w:rPr>
          <w:sz w:val="20"/>
        </w:rPr>
      </w:pPr>
    </w:p>
    <w:p>
      <w:pPr>
        <w:pStyle w:val="Heading1"/>
      </w:pPr>
      <w:r>
        <w:rPr/>
        <w:t>TRANSITORIOS</w:t>
      </w:r>
    </w:p>
    <w:p>
      <w:pPr>
        <w:pStyle w:val="BodyText"/>
        <w:spacing w:before="4"/>
        <w:rPr>
          <w:b/>
        </w:rPr>
      </w:pPr>
    </w:p>
    <w:p>
      <w:pPr>
        <w:pStyle w:val="BodyText"/>
        <w:spacing w:line="276" w:lineRule="auto" w:before="1"/>
        <w:ind w:left="141" w:right="141"/>
      </w:pPr>
      <w:r>
        <w:rPr>
          <w:b/>
        </w:rPr>
        <w:t>ARTÍCULO ÚNICO.- </w:t>
      </w:r>
      <w:r>
        <w:rPr/>
        <w:t>El presente Reglamento entrará en vigor al día siguiente al de su publicación en el Periódico Oficial del Gobierno del</w:t>
      </w:r>
      <w:r>
        <w:rPr>
          <w:spacing w:val="-23"/>
        </w:rPr>
        <w:t> </w:t>
      </w:r>
      <w:r>
        <w:rPr/>
        <w:t>Estado.</w:t>
      </w:r>
    </w:p>
    <w:p>
      <w:pPr>
        <w:pStyle w:val="BodyText"/>
        <w:spacing w:before="11"/>
        <w:rPr>
          <w:sz w:val="20"/>
        </w:rPr>
      </w:pPr>
    </w:p>
    <w:p>
      <w:pPr>
        <w:pStyle w:val="BodyText"/>
        <w:spacing w:line="276" w:lineRule="auto"/>
        <w:ind w:left="141" w:right="126"/>
        <w:jc w:val="both"/>
      </w:pPr>
      <w:r>
        <w:rPr/>
        <w:t>Dado en la ciudad de Guanajuato, Capital, en el recinto oficial del Tribunal de lo Contencioso Administrativo del Estado de Guanajuato, a los 16 dieciséis días de diciembre de 2015 dos mil quince, por los Magistrados que integran el Pleno.</w:t>
      </w:r>
    </w:p>
    <w:p>
      <w:pPr>
        <w:pStyle w:val="BodyText"/>
        <w:rPr>
          <w:sz w:val="26"/>
        </w:rPr>
      </w:pPr>
    </w:p>
    <w:p>
      <w:pPr>
        <w:pStyle w:val="BodyText"/>
        <w:rPr>
          <w:sz w:val="26"/>
        </w:rPr>
      </w:pPr>
    </w:p>
    <w:p>
      <w:pPr>
        <w:pStyle w:val="BodyText"/>
        <w:spacing w:before="8"/>
        <w:rPr>
          <w:sz w:val="30"/>
        </w:rPr>
      </w:pPr>
    </w:p>
    <w:p>
      <w:pPr>
        <w:pStyle w:val="Heading1"/>
        <w:ind w:right="197"/>
      </w:pPr>
      <w:r>
        <w:rPr/>
        <w:t>Dr. Arturo Lara Martínez</w:t>
      </w:r>
    </w:p>
    <w:p>
      <w:pPr>
        <w:pStyle w:val="BodyText"/>
        <w:spacing w:line="276" w:lineRule="auto" w:before="41"/>
        <w:ind w:left="1682" w:right="1668"/>
        <w:jc w:val="center"/>
      </w:pPr>
      <w:r>
        <w:rPr/>
        <w:t>Magistrado Presidente del Tribunal de lo Contencioso Administrativo del Estado de Guanajuato</w:t>
      </w:r>
    </w:p>
    <w:p>
      <w:pPr>
        <w:pStyle w:val="BodyText"/>
        <w:rPr>
          <w:sz w:val="20"/>
        </w:rPr>
      </w:pPr>
    </w:p>
    <w:p>
      <w:pPr>
        <w:pStyle w:val="BodyText"/>
        <w:spacing w:before="2"/>
        <w:rPr>
          <w:sz w:val="27"/>
        </w:rPr>
      </w:pPr>
    </w:p>
    <w:p>
      <w:pPr>
        <w:spacing w:after="0"/>
        <w:rPr>
          <w:sz w:val="27"/>
        </w:rPr>
        <w:sectPr>
          <w:pgSz w:w="12240" w:h="15840"/>
          <w:pgMar w:top="1340" w:bottom="280" w:left="1560" w:right="1580"/>
        </w:sectPr>
      </w:pPr>
    </w:p>
    <w:p>
      <w:pPr>
        <w:pStyle w:val="Heading1"/>
        <w:spacing w:line="276" w:lineRule="auto" w:before="92"/>
        <w:ind w:left="443" w:right="35"/>
      </w:pPr>
      <w:r>
        <w:rPr/>
        <w:t>Mtro. Vicente de Jesús Esqueda Méndez</w:t>
      </w:r>
    </w:p>
    <w:p>
      <w:pPr>
        <w:pStyle w:val="BodyText"/>
        <w:spacing w:line="276" w:lineRule="auto" w:before="2"/>
        <w:ind w:left="443" w:right="38"/>
        <w:jc w:val="center"/>
      </w:pPr>
      <w:r>
        <w:rPr/>
        <w:t>Magistrado de la Segunda Sala del Tribunal de lo Contencioso Administrativo del Estado de Guanajuato</w:t>
      </w:r>
    </w:p>
    <w:p>
      <w:pPr>
        <w:spacing w:line="276" w:lineRule="auto" w:before="92"/>
        <w:ind w:left="443" w:right="241" w:hanging="6"/>
        <w:jc w:val="center"/>
        <w:rPr>
          <w:sz w:val="24"/>
        </w:rPr>
      </w:pPr>
      <w:r>
        <w:rPr/>
        <w:br w:type="column"/>
      </w:r>
      <w:r>
        <w:rPr>
          <w:b/>
          <w:sz w:val="24"/>
        </w:rPr>
        <w:t>Lic. Alejandro Santiago Rivera </w:t>
      </w:r>
      <w:r>
        <w:rPr>
          <w:sz w:val="24"/>
        </w:rPr>
        <w:t>Magistrado Supernumerario de la Cuarta Sala del Tribunal de lo Contencioso Administrativo del Estado de Guanajuato</w:t>
      </w:r>
    </w:p>
    <w:p>
      <w:pPr>
        <w:pStyle w:val="BodyText"/>
        <w:rPr>
          <w:sz w:val="26"/>
        </w:rPr>
      </w:pPr>
    </w:p>
    <w:p>
      <w:pPr>
        <w:pStyle w:val="BodyText"/>
        <w:spacing w:before="3"/>
        <w:rPr>
          <w:sz w:val="29"/>
        </w:rPr>
      </w:pPr>
    </w:p>
    <w:p>
      <w:pPr>
        <w:spacing w:line="276" w:lineRule="auto" w:before="0"/>
        <w:ind w:left="590" w:right="390" w:firstLine="4"/>
        <w:jc w:val="center"/>
        <w:rPr>
          <w:sz w:val="24"/>
        </w:rPr>
      </w:pPr>
      <w:r>
        <w:rPr>
          <w:b/>
          <w:sz w:val="24"/>
        </w:rPr>
        <w:t>Lic. Eliseo Hernández Campos </w:t>
      </w:r>
      <w:r>
        <w:rPr>
          <w:sz w:val="24"/>
        </w:rPr>
        <w:t>Secretario General de Acuerdos del Tribunal de lo Contencioso Administrativo del Estado de Guanajuato</w:t>
      </w:r>
    </w:p>
    <w:p>
      <w:pPr>
        <w:spacing w:after="0" w:line="276" w:lineRule="auto"/>
        <w:jc w:val="center"/>
        <w:rPr>
          <w:sz w:val="24"/>
        </w:rPr>
        <w:sectPr>
          <w:type w:val="continuous"/>
          <w:pgSz w:w="12240" w:h="15840"/>
          <w:pgMar w:top="1340" w:bottom="280" w:left="1560" w:right="1580"/>
          <w:cols w:num="2" w:equalWidth="0">
            <w:col w:w="4219" w:space="84"/>
            <w:col w:w="4797"/>
          </w:cols>
        </w:sectPr>
      </w:pPr>
    </w:p>
    <w:p>
      <w:pPr>
        <w:pStyle w:val="Heading1"/>
        <w:spacing w:before="142"/>
        <w:ind w:left="141" w:right="0"/>
        <w:jc w:val="left"/>
      </w:pPr>
      <w:r>
        <w:rPr/>
        <w:t>NOTA:</w:t>
      </w:r>
    </w:p>
    <w:p>
      <w:pPr>
        <w:pStyle w:val="BodyText"/>
        <w:spacing w:before="230"/>
        <w:ind w:left="141" w:right="118"/>
        <w:jc w:val="both"/>
      </w:pPr>
      <w:r>
        <w:rPr/>
        <w:t>Se reformó la denominación, los artículos 1, 2 fracción VIII y 3, y se derogó el artículo 40, mediante Acuerdo publicado en el Periódico Oficial del Gobierno del Estado número 99, Tercera Parte, de fecha 21 de junio del 2016.</w:t>
      </w:r>
    </w:p>
    <w:p>
      <w:pPr>
        <w:pStyle w:val="BodyText"/>
      </w:pPr>
    </w:p>
    <w:p>
      <w:pPr>
        <w:pStyle w:val="Heading1"/>
        <w:ind w:right="195"/>
      </w:pPr>
      <w:r>
        <w:rPr/>
        <w:t>TRANSITORIO</w:t>
      </w:r>
    </w:p>
    <w:p>
      <w:pPr>
        <w:pStyle w:val="BodyText"/>
        <w:rPr>
          <w:b/>
        </w:rPr>
      </w:pPr>
    </w:p>
    <w:p>
      <w:pPr>
        <w:pStyle w:val="BodyText"/>
        <w:ind w:left="141" w:right="127"/>
        <w:jc w:val="both"/>
      </w:pPr>
      <w:r>
        <w:rPr>
          <w:b/>
        </w:rPr>
        <w:t>ARTÍCULO ÚNICO</w:t>
      </w:r>
      <w:r>
        <w:rPr/>
        <w:t>. El presente acuerdo entrará en vigencia al día siguiente de su publicación en el Periódico Oficial del Gobierno del Estado.</w:t>
      </w:r>
    </w:p>
    <w:sectPr>
      <w:pgSz w:w="12240" w:h="15840"/>
      <w:pgMar w:top="1500" w:bottom="280" w:left="156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Roman"/>
      <w:lvlText w:val="%1."/>
      <w:lvlJc w:val="left"/>
      <w:pPr>
        <w:ind w:left="861" w:hanging="428"/>
        <w:jc w:val="right"/>
      </w:pPr>
      <w:rPr>
        <w:rFonts w:hint="default" w:ascii="Arial" w:hAnsi="Arial" w:eastAsia="Arial" w:cs="Arial"/>
        <w:spacing w:val="-4"/>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8">
    <w:multiLevelType w:val="hybridMultilevel"/>
    <w:lvl w:ilvl="0">
      <w:start w:val="1"/>
      <w:numFmt w:val="upperRoman"/>
      <w:lvlText w:val="%1."/>
      <w:lvlJc w:val="left"/>
      <w:pPr>
        <w:ind w:left="861" w:hanging="428"/>
        <w:jc w:val="right"/>
      </w:pPr>
      <w:rPr>
        <w:rFonts w:hint="default" w:ascii="Arial" w:hAnsi="Arial" w:eastAsia="Arial" w:cs="Arial"/>
        <w:spacing w:val="-13"/>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7">
    <w:multiLevelType w:val="hybridMultilevel"/>
    <w:lvl w:ilvl="0">
      <w:start w:val="1"/>
      <w:numFmt w:val="upperRoman"/>
      <w:lvlText w:val="%1."/>
      <w:lvlJc w:val="left"/>
      <w:pPr>
        <w:ind w:left="861" w:hanging="428"/>
        <w:jc w:val="right"/>
      </w:pPr>
      <w:rPr>
        <w:rFonts w:hint="default" w:ascii="Arial" w:hAnsi="Arial" w:eastAsia="Arial" w:cs="Arial"/>
        <w:spacing w:val="-4"/>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6">
    <w:multiLevelType w:val="hybridMultilevel"/>
    <w:lvl w:ilvl="0">
      <w:start w:val="1"/>
      <w:numFmt w:val="upperRoman"/>
      <w:lvlText w:val="%1."/>
      <w:lvlJc w:val="left"/>
      <w:pPr>
        <w:ind w:left="861" w:hanging="428"/>
        <w:jc w:val="right"/>
      </w:pPr>
      <w:rPr>
        <w:rFonts w:hint="default" w:ascii="Arial" w:hAnsi="Arial" w:eastAsia="Arial" w:cs="Arial"/>
        <w:spacing w:val="-2"/>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5">
    <w:multiLevelType w:val="hybridMultilevel"/>
    <w:lvl w:ilvl="0">
      <w:start w:val="1"/>
      <w:numFmt w:val="upperRoman"/>
      <w:lvlText w:val="%1."/>
      <w:lvlJc w:val="left"/>
      <w:pPr>
        <w:ind w:left="861" w:hanging="428"/>
        <w:jc w:val="right"/>
      </w:pPr>
      <w:rPr>
        <w:rFonts w:hint="default" w:ascii="Arial" w:hAnsi="Arial" w:eastAsia="Arial" w:cs="Arial"/>
        <w:spacing w:val="-3"/>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4">
    <w:multiLevelType w:val="hybridMultilevel"/>
    <w:lvl w:ilvl="0">
      <w:start w:val="1"/>
      <w:numFmt w:val="upperRoman"/>
      <w:lvlText w:val="%1."/>
      <w:lvlJc w:val="left"/>
      <w:pPr>
        <w:ind w:left="849" w:hanging="416"/>
        <w:jc w:val="right"/>
      </w:pPr>
      <w:rPr>
        <w:rFonts w:hint="default" w:ascii="Arial" w:hAnsi="Arial" w:eastAsia="Arial" w:cs="Arial"/>
        <w:spacing w:val="-3"/>
        <w:w w:val="100"/>
        <w:sz w:val="24"/>
        <w:szCs w:val="24"/>
        <w:lang w:val="es-ES" w:eastAsia="es-ES" w:bidi="es-ES"/>
      </w:rPr>
    </w:lvl>
    <w:lvl w:ilvl="1">
      <w:start w:val="0"/>
      <w:numFmt w:val="bullet"/>
      <w:lvlText w:val="•"/>
      <w:lvlJc w:val="left"/>
      <w:pPr>
        <w:ind w:left="1666" w:hanging="416"/>
      </w:pPr>
      <w:rPr>
        <w:rFonts w:hint="default"/>
        <w:lang w:val="es-ES" w:eastAsia="es-ES" w:bidi="es-ES"/>
      </w:rPr>
    </w:lvl>
    <w:lvl w:ilvl="2">
      <w:start w:val="0"/>
      <w:numFmt w:val="bullet"/>
      <w:lvlText w:val="•"/>
      <w:lvlJc w:val="left"/>
      <w:pPr>
        <w:ind w:left="2492" w:hanging="416"/>
      </w:pPr>
      <w:rPr>
        <w:rFonts w:hint="default"/>
        <w:lang w:val="es-ES" w:eastAsia="es-ES" w:bidi="es-ES"/>
      </w:rPr>
    </w:lvl>
    <w:lvl w:ilvl="3">
      <w:start w:val="0"/>
      <w:numFmt w:val="bullet"/>
      <w:lvlText w:val="•"/>
      <w:lvlJc w:val="left"/>
      <w:pPr>
        <w:ind w:left="3318" w:hanging="416"/>
      </w:pPr>
      <w:rPr>
        <w:rFonts w:hint="default"/>
        <w:lang w:val="es-ES" w:eastAsia="es-ES" w:bidi="es-ES"/>
      </w:rPr>
    </w:lvl>
    <w:lvl w:ilvl="4">
      <w:start w:val="0"/>
      <w:numFmt w:val="bullet"/>
      <w:lvlText w:val="•"/>
      <w:lvlJc w:val="left"/>
      <w:pPr>
        <w:ind w:left="4144" w:hanging="416"/>
      </w:pPr>
      <w:rPr>
        <w:rFonts w:hint="default"/>
        <w:lang w:val="es-ES" w:eastAsia="es-ES" w:bidi="es-ES"/>
      </w:rPr>
    </w:lvl>
    <w:lvl w:ilvl="5">
      <w:start w:val="0"/>
      <w:numFmt w:val="bullet"/>
      <w:lvlText w:val="•"/>
      <w:lvlJc w:val="left"/>
      <w:pPr>
        <w:ind w:left="4970" w:hanging="416"/>
      </w:pPr>
      <w:rPr>
        <w:rFonts w:hint="default"/>
        <w:lang w:val="es-ES" w:eastAsia="es-ES" w:bidi="es-ES"/>
      </w:rPr>
    </w:lvl>
    <w:lvl w:ilvl="6">
      <w:start w:val="0"/>
      <w:numFmt w:val="bullet"/>
      <w:lvlText w:val="•"/>
      <w:lvlJc w:val="left"/>
      <w:pPr>
        <w:ind w:left="5796" w:hanging="416"/>
      </w:pPr>
      <w:rPr>
        <w:rFonts w:hint="default"/>
        <w:lang w:val="es-ES" w:eastAsia="es-ES" w:bidi="es-ES"/>
      </w:rPr>
    </w:lvl>
    <w:lvl w:ilvl="7">
      <w:start w:val="0"/>
      <w:numFmt w:val="bullet"/>
      <w:lvlText w:val="•"/>
      <w:lvlJc w:val="left"/>
      <w:pPr>
        <w:ind w:left="6622" w:hanging="416"/>
      </w:pPr>
      <w:rPr>
        <w:rFonts w:hint="default"/>
        <w:lang w:val="es-ES" w:eastAsia="es-ES" w:bidi="es-ES"/>
      </w:rPr>
    </w:lvl>
    <w:lvl w:ilvl="8">
      <w:start w:val="0"/>
      <w:numFmt w:val="bullet"/>
      <w:lvlText w:val="•"/>
      <w:lvlJc w:val="left"/>
      <w:pPr>
        <w:ind w:left="7448" w:hanging="416"/>
      </w:pPr>
      <w:rPr>
        <w:rFonts w:hint="default"/>
        <w:lang w:val="es-ES" w:eastAsia="es-ES" w:bidi="es-ES"/>
      </w:rPr>
    </w:lvl>
  </w:abstractNum>
  <w:abstractNum w:abstractNumId="3">
    <w:multiLevelType w:val="hybridMultilevel"/>
    <w:lvl w:ilvl="0">
      <w:start w:val="1"/>
      <w:numFmt w:val="upperRoman"/>
      <w:lvlText w:val="%1."/>
      <w:lvlJc w:val="left"/>
      <w:pPr>
        <w:ind w:left="849" w:hanging="416"/>
        <w:jc w:val="right"/>
      </w:pPr>
      <w:rPr>
        <w:rFonts w:hint="default" w:ascii="Arial" w:hAnsi="Arial" w:eastAsia="Arial" w:cs="Arial"/>
        <w:spacing w:val="-3"/>
        <w:w w:val="100"/>
        <w:sz w:val="24"/>
        <w:szCs w:val="24"/>
        <w:lang w:val="es-ES" w:eastAsia="es-ES" w:bidi="es-ES"/>
      </w:rPr>
    </w:lvl>
    <w:lvl w:ilvl="1">
      <w:start w:val="1"/>
      <w:numFmt w:val="upperRoman"/>
      <w:lvlText w:val="%2."/>
      <w:lvlJc w:val="left"/>
      <w:pPr>
        <w:ind w:left="849" w:hanging="416"/>
        <w:jc w:val="right"/>
      </w:pPr>
      <w:rPr>
        <w:rFonts w:hint="default" w:ascii="Arial" w:hAnsi="Arial" w:eastAsia="Arial" w:cs="Arial"/>
        <w:spacing w:val="-3"/>
        <w:w w:val="100"/>
        <w:sz w:val="24"/>
        <w:szCs w:val="24"/>
        <w:lang w:val="es-ES" w:eastAsia="es-ES" w:bidi="es-ES"/>
      </w:rPr>
    </w:lvl>
    <w:lvl w:ilvl="2">
      <w:start w:val="0"/>
      <w:numFmt w:val="bullet"/>
      <w:lvlText w:val="•"/>
      <w:lvlJc w:val="left"/>
      <w:pPr>
        <w:ind w:left="2492" w:hanging="416"/>
      </w:pPr>
      <w:rPr>
        <w:rFonts w:hint="default"/>
        <w:lang w:val="es-ES" w:eastAsia="es-ES" w:bidi="es-ES"/>
      </w:rPr>
    </w:lvl>
    <w:lvl w:ilvl="3">
      <w:start w:val="0"/>
      <w:numFmt w:val="bullet"/>
      <w:lvlText w:val="•"/>
      <w:lvlJc w:val="left"/>
      <w:pPr>
        <w:ind w:left="3318" w:hanging="416"/>
      </w:pPr>
      <w:rPr>
        <w:rFonts w:hint="default"/>
        <w:lang w:val="es-ES" w:eastAsia="es-ES" w:bidi="es-ES"/>
      </w:rPr>
    </w:lvl>
    <w:lvl w:ilvl="4">
      <w:start w:val="0"/>
      <w:numFmt w:val="bullet"/>
      <w:lvlText w:val="•"/>
      <w:lvlJc w:val="left"/>
      <w:pPr>
        <w:ind w:left="4144" w:hanging="416"/>
      </w:pPr>
      <w:rPr>
        <w:rFonts w:hint="default"/>
        <w:lang w:val="es-ES" w:eastAsia="es-ES" w:bidi="es-ES"/>
      </w:rPr>
    </w:lvl>
    <w:lvl w:ilvl="5">
      <w:start w:val="0"/>
      <w:numFmt w:val="bullet"/>
      <w:lvlText w:val="•"/>
      <w:lvlJc w:val="left"/>
      <w:pPr>
        <w:ind w:left="4970" w:hanging="416"/>
      </w:pPr>
      <w:rPr>
        <w:rFonts w:hint="default"/>
        <w:lang w:val="es-ES" w:eastAsia="es-ES" w:bidi="es-ES"/>
      </w:rPr>
    </w:lvl>
    <w:lvl w:ilvl="6">
      <w:start w:val="0"/>
      <w:numFmt w:val="bullet"/>
      <w:lvlText w:val="•"/>
      <w:lvlJc w:val="left"/>
      <w:pPr>
        <w:ind w:left="5796" w:hanging="416"/>
      </w:pPr>
      <w:rPr>
        <w:rFonts w:hint="default"/>
        <w:lang w:val="es-ES" w:eastAsia="es-ES" w:bidi="es-ES"/>
      </w:rPr>
    </w:lvl>
    <w:lvl w:ilvl="7">
      <w:start w:val="0"/>
      <w:numFmt w:val="bullet"/>
      <w:lvlText w:val="•"/>
      <w:lvlJc w:val="left"/>
      <w:pPr>
        <w:ind w:left="6622" w:hanging="416"/>
      </w:pPr>
      <w:rPr>
        <w:rFonts w:hint="default"/>
        <w:lang w:val="es-ES" w:eastAsia="es-ES" w:bidi="es-ES"/>
      </w:rPr>
    </w:lvl>
    <w:lvl w:ilvl="8">
      <w:start w:val="0"/>
      <w:numFmt w:val="bullet"/>
      <w:lvlText w:val="•"/>
      <w:lvlJc w:val="left"/>
      <w:pPr>
        <w:ind w:left="7448" w:hanging="416"/>
      </w:pPr>
      <w:rPr>
        <w:rFonts w:hint="default"/>
        <w:lang w:val="es-ES" w:eastAsia="es-ES" w:bidi="es-ES"/>
      </w:rPr>
    </w:lvl>
  </w:abstractNum>
  <w:abstractNum w:abstractNumId="2">
    <w:multiLevelType w:val="hybridMultilevel"/>
    <w:lvl w:ilvl="0">
      <w:start w:val="1"/>
      <w:numFmt w:val="upperRoman"/>
      <w:lvlText w:val="%1."/>
      <w:lvlJc w:val="left"/>
      <w:pPr>
        <w:ind w:left="849" w:hanging="416"/>
        <w:jc w:val="right"/>
      </w:pPr>
      <w:rPr>
        <w:rFonts w:hint="default" w:ascii="Arial" w:hAnsi="Arial" w:eastAsia="Arial" w:cs="Arial"/>
        <w:spacing w:val="-3"/>
        <w:w w:val="100"/>
        <w:sz w:val="24"/>
        <w:szCs w:val="24"/>
        <w:lang w:val="es-ES" w:eastAsia="es-ES" w:bidi="es-ES"/>
      </w:rPr>
    </w:lvl>
    <w:lvl w:ilvl="1">
      <w:start w:val="1"/>
      <w:numFmt w:val="upperRoman"/>
      <w:lvlText w:val="%2."/>
      <w:lvlJc w:val="left"/>
      <w:pPr>
        <w:ind w:left="849" w:hanging="416"/>
        <w:jc w:val="right"/>
      </w:pPr>
      <w:rPr>
        <w:rFonts w:hint="default" w:ascii="Arial" w:hAnsi="Arial" w:eastAsia="Arial" w:cs="Arial"/>
        <w:spacing w:val="-3"/>
        <w:w w:val="100"/>
        <w:sz w:val="24"/>
        <w:szCs w:val="24"/>
        <w:lang w:val="es-ES" w:eastAsia="es-ES" w:bidi="es-ES"/>
      </w:rPr>
    </w:lvl>
    <w:lvl w:ilvl="2">
      <w:start w:val="0"/>
      <w:numFmt w:val="bullet"/>
      <w:lvlText w:val="•"/>
      <w:lvlJc w:val="left"/>
      <w:pPr>
        <w:ind w:left="2492" w:hanging="416"/>
      </w:pPr>
      <w:rPr>
        <w:rFonts w:hint="default"/>
        <w:lang w:val="es-ES" w:eastAsia="es-ES" w:bidi="es-ES"/>
      </w:rPr>
    </w:lvl>
    <w:lvl w:ilvl="3">
      <w:start w:val="0"/>
      <w:numFmt w:val="bullet"/>
      <w:lvlText w:val="•"/>
      <w:lvlJc w:val="left"/>
      <w:pPr>
        <w:ind w:left="3318" w:hanging="416"/>
      </w:pPr>
      <w:rPr>
        <w:rFonts w:hint="default"/>
        <w:lang w:val="es-ES" w:eastAsia="es-ES" w:bidi="es-ES"/>
      </w:rPr>
    </w:lvl>
    <w:lvl w:ilvl="4">
      <w:start w:val="0"/>
      <w:numFmt w:val="bullet"/>
      <w:lvlText w:val="•"/>
      <w:lvlJc w:val="left"/>
      <w:pPr>
        <w:ind w:left="4144" w:hanging="416"/>
      </w:pPr>
      <w:rPr>
        <w:rFonts w:hint="default"/>
        <w:lang w:val="es-ES" w:eastAsia="es-ES" w:bidi="es-ES"/>
      </w:rPr>
    </w:lvl>
    <w:lvl w:ilvl="5">
      <w:start w:val="0"/>
      <w:numFmt w:val="bullet"/>
      <w:lvlText w:val="•"/>
      <w:lvlJc w:val="left"/>
      <w:pPr>
        <w:ind w:left="4970" w:hanging="416"/>
      </w:pPr>
      <w:rPr>
        <w:rFonts w:hint="default"/>
        <w:lang w:val="es-ES" w:eastAsia="es-ES" w:bidi="es-ES"/>
      </w:rPr>
    </w:lvl>
    <w:lvl w:ilvl="6">
      <w:start w:val="0"/>
      <w:numFmt w:val="bullet"/>
      <w:lvlText w:val="•"/>
      <w:lvlJc w:val="left"/>
      <w:pPr>
        <w:ind w:left="5796" w:hanging="416"/>
      </w:pPr>
      <w:rPr>
        <w:rFonts w:hint="default"/>
        <w:lang w:val="es-ES" w:eastAsia="es-ES" w:bidi="es-ES"/>
      </w:rPr>
    </w:lvl>
    <w:lvl w:ilvl="7">
      <w:start w:val="0"/>
      <w:numFmt w:val="bullet"/>
      <w:lvlText w:val="•"/>
      <w:lvlJc w:val="left"/>
      <w:pPr>
        <w:ind w:left="6622" w:hanging="416"/>
      </w:pPr>
      <w:rPr>
        <w:rFonts w:hint="default"/>
        <w:lang w:val="es-ES" w:eastAsia="es-ES" w:bidi="es-ES"/>
      </w:rPr>
    </w:lvl>
    <w:lvl w:ilvl="8">
      <w:start w:val="0"/>
      <w:numFmt w:val="bullet"/>
      <w:lvlText w:val="•"/>
      <w:lvlJc w:val="left"/>
      <w:pPr>
        <w:ind w:left="7448" w:hanging="416"/>
      </w:pPr>
      <w:rPr>
        <w:rFonts w:hint="default"/>
        <w:lang w:val="es-ES" w:eastAsia="es-ES" w:bidi="es-ES"/>
      </w:rPr>
    </w:lvl>
  </w:abstractNum>
  <w:abstractNum w:abstractNumId="1">
    <w:multiLevelType w:val="hybridMultilevel"/>
    <w:lvl w:ilvl="0">
      <w:start w:val="1"/>
      <w:numFmt w:val="upperRoman"/>
      <w:lvlText w:val="%1."/>
      <w:lvlJc w:val="left"/>
      <w:pPr>
        <w:ind w:left="861" w:hanging="428"/>
        <w:jc w:val="right"/>
      </w:pPr>
      <w:rPr>
        <w:rFonts w:hint="default" w:ascii="Arial" w:hAnsi="Arial" w:eastAsia="Arial" w:cs="Arial"/>
        <w:spacing w:val="-4"/>
        <w:w w:val="100"/>
        <w:sz w:val="24"/>
        <w:szCs w:val="24"/>
        <w:lang w:val="es-ES" w:eastAsia="es-ES" w:bidi="es-ES"/>
      </w:rPr>
    </w:lvl>
    <w:lvl w:ilvl="1">
      <w:start w:val="0"/>
      <w:numFmt w:val="bullet"/>
      <w:lvlText w:val="•"/>
      <w:lvlJc w:val="left"/>
      <w:pPr>
        <w:ind w:left="1684" w:hanging="428"/>
      </w:pPr>
      <w:rPr>
        <w:rFonts w:hint="default"/>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abstractNum w:abstractNumId="0">
    <w:multiLevelType w:val="hybridMultilevel"/>
    <w:lvl w:ilvl="0">
      <w:start w:val="1"/>
      <w:numFmt w:val="upperRoman"/>
      <w:lvlText w:val="%1."/>
      <w:lvlJc w:val="left"/>
      <w:pPr>
        <w:ind w:left="861" w:hanging="428"/>
        <w:jc w:val="right"/>
      </w:pPr>
      <w:rPr>
        <w:rFonts w:hint="default" w:ascii="Arial" w:hAnsi="Arial" w:eastAsia="Arial" w:cs="Arial"/>
        <w:spacing w:val="-3"/>
        <w:w w:val="100"/>
        <w:sz w:val="24"/>
        <w:szCs w:val="24"/>
        <w:lang w:val="es-ES" w:eastAsia="es-ES" w:bidi="es-ES"/>
      </w:rPr>
    </w:lvl>
    <w:lvl w:ilvl="1">
      <w:start w:val="1"/>
      <w:numFmt w:val="upperRoman"/>
      <w:lvlText w:val="%2."/>
      <w:lvlJc w:val="left"/>
      <w:pPr>
        <w:ind w:left="861" w:hanging="428"/>
        <w:jc w:val="right"/>
      </w:pPr>
      <w:rPr>
        <w:rFonts w:hint="default" w:ascii="Arial" w:hAnsi="Arial" w:eastAsia="Arial" w:cs="Arial"/>
        <w:spacing w:val="-26"/>
        <w:w w:val="100"/>
        <w:sz w:val="24"/>
        <w:szCs w:val="24"/>
        <w:lang w:val="es-ES" w:eastAsia="es-ES" w:bidi="es-ES"/>
      </w:rPr>
    </w:lvl>
    <w:lvl w:ilvl="2">
      <w:start w:val="0"/>
      <w:numFmt w:val="bullet"/>
      <w:lvlText w:val="•"/>
      <w:lvlJc w:val="left"/>
      <w:pPr>
        <w:ind w:left="2508" w:hanging="428"/>
      </w:pPr>
      <w:rPr>
        <w:rFonts w:hint="default"/>
        <w:lang w:val="es-ES" w:eastAsia="es-ES" w:bidi="es-ES"/>
      </w:rPr>
    </w:lvl>
    <w:lvl w:ilvl="3">
      <w:start w:val="0"/>
      <w:numFmt w:val="bullet"/>
      <w:lvlText w:val="•"/>
      <w:lvlJc w:val="left"/>
      <w:pPr>
        <w:ind w:left="3332" w:hanging="428"/>
      </w:pPr>
      <w:rPr>
        <w:rFonts w:hint="default"/>
        <w:lang w:val="es-ES" w:eastAsia="es-ES" w:bidi="es-ES"/>
      </w:rPr>
    </w:lvl>
    <w:lvl w:ilvl="4">
      <w:start w:val="0"/>
      <w:numFmt w:val="bullet"/>
      <w:lvlText w:val="•"/>
      <w:lvlJc w:val="left"/>
      <w:pPr>
        <w:ind w:left="4156" w:hanging="428"/>
      </w:pPr>
      <w:rPr>
        <w:rFonts w:hint="default"/>
        <w:lang w:val="es-ES" w:eastAsia="es-ES" w:bidi="es-ES"/>
      </w:rPr>
    </w:lvl>
    <w:lvl w:ilvl="5">
      <w:start w:val="0"/>
      <w:numFmt w:val="bullet"/>
      <w:lvlText w:val="•"/>
      <w:lvlJc w:val="left"/>
      <w:pPr>
        <w:ind w:left="4980" w:hanging="428"/>
      </w:pPr>
      <w:rPr>
        <w:rFonts w:hint="default"/>
        <w:lang w:val="es-ES" w:eastAsia="es-ES" w:bidi="es-ES"/>
      </w:rPr>
    </w:lvl>
    <w:lvl w:ilvl="6">
      <w:start w:val="0"/>
      <w:numFmt w:val="bullet"/>
      <w:lvlText w:val="•"/>
      <w:lvlJc w:val="left"/>
      <w:pPr>
        <w:ind w:left="5804" w:hanging="428"/>
      </w:pPr>
      <w:rPr>
        <w:rFonts w:hint="default"/>
        <w:lang w:val="es-ES" w:eastAsia="es-ES" w:bidi="es-ES"/>
      </w:rPr>
    </w:lvl>
    <w:lvl w:ilvl="7">
      <w:start w:val="0"/>
      <w:numFmt w:val="bullet"/>
      <w:lvlText w:val="•"/>
      <w:lvlJc w:val="left"/>
      <w:pPr>
        <w:ind w:left="6628" w:hanging="428"/>
      </w:pPr>
      <w:rPr>
        <w:rFonts w:hint="default"/>
        <w:lang w:val="es-ES" w:eastAsia="es-ES" w:bidi="es-ES"/>
      </w:rPr>
    </w:lvl>
    <w:lvl w:ilvl="8">
      <w:start w:val="0"/>
      <w:numFmt w:val="bullet"/>
      <w:lvlText w:val="•"/>
      <w:lvlJc w:val="left"/>
      <w:pPr>
        <w:ind w:left="7452" w:hanging="428"/>
      </w:pPr>
      <w:rPr>
        <w:rFonts w:hint="default"/>
        <w:lang w:val="es-ES" w:eastAsia="es-ES" w:bidi="es-E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210" w:right="193"/>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849" w:hanging="495"/>
    </w:pPr>
    <w:rPr>
      <w:rFonts w:ascii="Arial" w:hAnsi="Arial" w:eastAsia="Arial" w:cs="Arial"/>
      <w:lang w:val="es-ES" w:eastAsia="es-ES" w:bidi="es-ES"/>
    </w:rPr>
  </w:style>
  <w:style w:styleId="TableParagraph" w:type="paragraph">
    <w:name w:val="Table Paragraph"/>
    <w:basedOn w:val="Normal"/>
    <w:uiPriority w:val="1"/>
    <w:qFormat/>
    <w:pPr>
      <w:spacing w:before="2" w:line="276" w:lineRule="exact"/>
      <w:ind w:left="388" w:hanging="293"/>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dcterms:created xsi:type="dcterms:W3CDTF">2019-04-25T15:39:54Z</dcterms:created>
  <dcterms:modified xsi:type="dcterms:W3CDTF">2019-04-25T15:39:54Z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Nitro PDF Professional  (6. 2. 1. 10)</vt:lpwstr>
  </property>
  <property fmtid="{D5CDD505-2E9C-101B-9397-08002B2CF9AE}" pid="4" name="LastSaved">
    <vt:filetime>2019-04-25T00:00:00Z</vt:filetime>
  </property>
</Properties>
</file>